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6FC6E" w14:textId="4F5EB902" w:rsidR="008D4DEB" w:rsidRPr="008D4DEB" w:rsidRDefault="00297CBA" w:rsidP="008D4DEB">
      <w:pPr>
        <w:tabs>
          <w:tab w:val="left" w:pos="8904"/>
        </w:tabs>
        <w:snapToGrid w:val="0"/>
        <w:spacing w:before="120" w:after="100" w:afterAutospacing="1" w:line="0" w:lineRule="atLeast"/>
        <w:contextualSpacing/>
        <w:rPr>
          <w:rFonts w:ascii="Open Sans" w:hAnsi="Open Sans" w:cs="Open Sans"/>
          <w:b/>
          <w:bCs/>
          <w:sz w:val="28"/>
          <w:szCs w:val="28"/>
          <w:lang w:val="en-US"/>
        </w:rPr>
      </w:pPr>
      <w:r w:rsidRPr="002C1994">
        <w:rPr>
          <w:rFonts w:ascii="Open Sans" w:hAnsi="Open Sans" w:cs="Open Sans"/>
          <w:b/>
          <w:bCs/>
          <w:noProof/>
          <w:sz w:val="2"/>
          <w:szCs w:val="2"/>
          <w:lang w:val="fr-FR"/>
        </w:rPr>
        <w:drawing>
          <wp:anchor distT="0" distB="0" distL="114300" distR="114300" simplePos="0" relativeHeight="251658240" behindDoc="1" locked="0" layoutInCell="1" allowOverlap="1" wp14:anchorId="5BB77D26" wp14:editId="7276644B">
            <wp:simplePos x="0" y="0"/>
            <wp:positionH relativeFrom="column">
              <wp:posOffset>32819</wp:posOffset>
            </wp:positionH>
            <wp:positionV relativeFrom="paragraph">
              <wp:posOffset>213360</wp:posOffset>
            </wp:positionV>
            <wp:extent cx="647700" cy="14351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47700" cy="143510"/>
                    </a:xfrm>
                    <a:prstGeom prst="rect">
                      <a:avLst/>
                    </a:prstGeom>
                  </pic:spPr>
                </pic:pic>
              </a:graphicData>
            </a:graphic>
            <wp14:sizeRelH relativeFrom="margin">
              <wp14:pctWidth>0</wp14:pctWidth>
            </wp14:sizeRelH>
            <wp14:sizeRelV relativeFrom="margin">
              <wp14:pctHeight>0</wp14:pctHeight>
            </wp14:sizeRelV>
          </wp:anchor>
        </w:drawing>
      </w:r>
      <w:r w:rsidR="008D4DEB" w:rsidRPr="008D4DEB">
        <w:rPr>
          <w:rFonts w:ascii="Open Sans" w:hAnsi="Open Sans" w:cs="Open Sans"/>
          <w:b/>
          <w:bCs/>
          <w:sz w:val="28"/>
          <w:szCs w:val="28"/>
          <w:lang w:val="en-US"/>
        </w:rPr>
        <w:t xml:space="preserve">Young </w:t>
      </w:r>
      <w:r w:rsidR="00B5460F">
        <w:rPr>
          <w:rFonts w:ascii="Open Sans" w:hAnsi="Open Sans" w:cs="Open Sans"/>
          <w:b/>
          <w:bCs/>
          <w:sz w:val="28"/>
          <w:szCs w:val="28"/>
          <w:lang w:val="en-US"/>
        </w:rPr>
        <w:t>C</w:t>
      </w:r>
      <w:r w:rsidR="008D4DEB" w:rsidRPr="008D4DEB">
        <w:rPr>
          <w:rFonts w:ascii="Open Sans" w:hAnsi="Open Sans" w:cs="Open Sans"/>
          <w:b/>
          <w:bCs/>
          <w:sz w:val="28"/>
          <w:szCs w:val="28"/>
          <w:lang w:val="en-US"/>
        </w:rPr>
        <w:t xml:space="preserve">limate </w:t>
      </w:r>
      <w:r w:rsidR="00B5460F">
        <w:rPr>
          <w:rFonts w:ascii="Open Sans" w:hAnsi="Open Sans" w:cs="Open Sans"/>
          <w:b/>
          <w:bCs/>
          <w:sz w:val="28"/>
          <w:szCs w:val="28"/>
          <w:lang w:val="en-US"/>
        </w:rPr>
        <w:t>C</w:t>
      </w:r>
      <w:r w:rsidR="008D4DEB" w:rsidRPr="008D4DEB">
        <w:rPr>
          <w:rFonts w:ascii="Open Sans" w:hAnsi="Open Sans" w:cs="Open Sans"/>
          <w:b/>
          <w:bCs/>
          <w:sz w:val="28"/>
          <w:szCs w:val="28"/>
          <w:lang w:val="en-US"/>
        </w:rPr>
        <w:t xml:space="preserve">hange </w:t>
      </w:r>
      <w:r w:rsidR="00B5460F">
        <w:rPr>
          <w:rFonts w:ascii="Open Sans" w:hAnsi="Open Sans" w:cs="Open Sans"/>
          <w:b/>
          <w:bCs/>
          <w:sz w:val="28"/>
          <w:szCs w:val="28"/>
          <w:lang w:val="en-US"/>
        </w:rPr>
        <w:t>V</w:t>
      </w:r>
      <w:r w:rsidR="008D4DEB" w:rsidRPr="008D4DEB">
        <w:rPr>
          <w:rFonts w:ascii="Open Sans" w:hAnsi="Open Sans" w:cs="Open Sans"/>
          <w:b/>
          <w:bCs/>
          <w:sz w:val="28"/>
          <w:szCs w:val="28"/>
          <w:lang w:val="en-US"/>
        </w:rPr>
        <w:t xml:space="preserve">ictims </w:t>
      </w:r>
      <w:r w:rsidR="00B5460F">
        <w:rPr>
          <w:rFonts w:ascii="Open Sans" w:hAnsi="Open Sans" w:cs="Open Sans"/>
          <w:b/>
          <w:bCs/>
          <w:sz w:val="28"/>
          <w:szCs w:val="28"/>
          <w:lang w:val="en-US"/>
        </w:rPr>
        <w:t>v</w:t>
      </w:r>
      <w:r w:rsidR="008D4DEB" w:rsidRPr="008D4DEB">
        <w:rPr>
          <w:rFonts w:ascii="Open Sans" w:hAnsi="Open Sans" w:cs="Open Sans"/>
          <w:b/>
          <w:bCs/>
          <w:sz w:val="28"/>
          <w:szCs w:val="28"/>
          <w:lang w:val="en-US"/>
        </w:rPr>
        <w:t xml:space="preserve"> </w:t>
      </w:r>
      <w:r w:rsidR="008D4DEB">
        <w:rPr>
          <w:rFonts w:ascii="Open Sans" w:hAnsi="Open Sans" w:cs="Open Sans"/>
          <w:b/>
          <w:bCs/>
          <w:sz w:val="28"/>
          <w:szCs w:val="28"/>
          <w:lang w:val="en-US"/>
        </w:rPr>
        <w:t>E</w:t>
      </w:r>
      <w:r w:rsidR="008D4DEB" w:rsidRPr="008D4DEB">
        <w:rPr>
          <w:rFonts w:ascii="Open Sans" w:hAnsi="Open Sans" w:cs="Open Sans"/>
          <w:b/>
          <w:bCs/>
          <w:sz w:val="28"/>
          <w:szCs w:val="28"/>
          <w:lang w:val="en-US"/>
        </w:rPr>
        <w:t xml:space="preserve">nergy </w:t>
      </w:r>
      <w:r w:rsidR="008D4DEB">
        <w:rPr>
          <w:rFonts w:ascii="Open Sans" w:hAnsi="Open Sans" w:cs="Open Sans"/>
          <w:b/>
          <w:bCs/>
          <w:sz w:val="28"/>
          <w:szCs w:val="28"/>
          <w:lang w:val="en-US"/>
        </w:rPr>
        <w:t>C</w:t>
      </w:r>
      <w:r w:rsidR="008D4DEB" w:rsidRPr="008D4DEB">
        <w:rPr>
          <w:rFonts w:ascii="Open Sans" w:hAnsi="Open Sans" w:cs="Open Sans"/>
          <w:b/>
          <w:bCs/>
          <w:sz w:val="28"/>
          <w:szCs w:val="28"/>
          <w:lang w:val="en-US"/>
        </w:rPr>
        <w:t xml:space="preserve">harter </w:t>
      </w:r>
      <w:r w:rsidR="008D4DEB">
        <w:rPr>
          <w:rFonts w:ascii="Open Sans" w:hAnsi="Open Sans" w:cs="Open Sans"/>
          <w:b/>
          <w:bCs/>
          <w:sz w:val="28"/>
          <w:szCs w:val="28"/>
          <w:lang w:val="en-US"/>
        </w:rPr>
        <w:t>T</w:t>
      </w:r>
      <w:r w:rsidR="008D4DEB" w:rsidRPr="008D4DEB">
        <w:rPr>
          <w:rFonts w:ascii="Open Sans" w:hAnsi="Open Sans" w:cs="Open Sans"/>
          <w:b/>
          <w:bCs/>
          <w:sz w:val="28"/>
          <w:szCs w:val="28"/>
          <w:lang w:val="en-US"/>
        </w:rPr>
        <w:t>reaty</w:t>
      </w:r>
    </w:p>
    <w:p w14:paraId="7BAEB8E3" w14:textId="539C890F" w:rsidR="008D4DEB" w:rsidRDefault="008D4DEB" w:rsidP="008D4DEB">
      <w:pPr>
        <w:pBdr>
          <w:bottom w:val="single" w:sz="8" w:space="1" w:color="002060"/>
        </w:pBdr>
        <w:spacing w:after="240"/>
        <w:rPr>
          <w:rFonts w:ascii="Open Sans" w:hAnsi="Open Sans" w:cs="Open Sans"/>
          <w:b/>
          <w:bCs/>
          <w:sz w:val="28"/>
          <w:szCs w:val="28"/>
          <w:lang w:val="en-US"/>
        </w:rPr>
      </w:pPr>
      <w:r w:rsidRPr="008D4DEB">
        <w:rPr>
          <w:rFonts w:ascii="Open Sans" w:hAnsi="Open Sans" w:cs="Open Sans"/>
          <w:b/>
          <w:bCs/>
          <w:sz w:val="28"/>
          <w:szCs w:val="28"/>
          <w:lang w:val="en-US"/>
        </w:rPr>
        <w:t xml:space="preserve">Main arguments of the </w:t>
      </w:r>
      <w:r w:rsidR="00B5460F">
        <w:rPr>
          <w:rFonts w:ascii="Open Sans" w:hAnsi="Open Sans" w:cs="Open Sans"/>
          <w:b/>
          <w:bCs/>
          <w:sz w:val="28"/>
          <w:szCs w:val="28"/>
          <w:lang w:val="en-US"/>
        </w:rPr>
        <w:t>A</w:t>
      </w:r>
      <w:r w:rsidRPr="008D4DEB">
        <w:rPr>
          <w:rFonts w:ascii="Open Sans" w:hAnsi="Open Sans" w:cs="Open Sans"/>
          <w:b/>
          <w:bCs/>
          <w:sz w:val="28"/>
          <w:szCs w:val="28"/>
          <w:lang w:val="en-US"/>
        </w:rPr>
        <w:t xml:space="preserve">pplication </w:t>
      </w:r>
      <w:r w:rsidR="00B5460F">
        <w:rPr>
          <w:rFonts w:ascii="Open Sans" w:hAnsi="Open Sans" w:cs="Open Sans"/>
          <w:b/>
          <w:bCs/>
          <w:sz w:val="28"/>
          <w:szCs w:val="28"/>
          <w:lang w:val="en-US"/>
        </w:rPr>
        <w:t>F</w:t>
      </w:r>
      <w:r w:rsidRPr="008D4DEB">
        <w:rPr>
          <w:rFonts w:ascii="Open Sans" w:hAnsi="Open Sans" w:cs="Open Sans"/>
          <w:b/>
          <w:bCs/>
          <w:sz w:val="28"/>
          <w:szCs w:val="28"/>
          <w:lang w:val="en-US"/>
        </w:rPr>
        <w:t xml:space="preserve">orm and </w:t>
      </w:r>
      <w:r w:rsidR="00B5460F">
        <w:rPr>
          <w:rFonts w:ascii="Open Sans" w:hAnsi="Open Sans" w:cs="Open Sans"/>
          <w:b/>
          <w:bCs/>
          <w:sz w:val="28"/>
          <w:szCs w:val="28"/>
          <w:lang w:val="en-US"/>
        </w:rPr>
        <w:t>A</w:t>
      </w:r>
      <w:r w:rsidRPr="008D4DEB">
        <w:rPr>
          <w:rFonts w:ascii="Open Sans" w:hAnsi="Open Sans" w:cs="Open Sans"/>
          <w:b/>
          <w:bCs/>
          <w:sz w:val="28"/>
          <w:szCs w:val="28"/>
          <w:lang w:val="en-US"/>
        </w:rPr>
        <w:t>nnex</w:t>
      </w:r>
      <w:r>
        <w:rPr>
          <w:rFonts w:ascii="Open Sans" w:hAnsi="Open Sans" w:cs="Open Sans"/>
          <w:b/>
          <w:bCs/>
          <w:sz w:val="28"/>
          <w:szCs w:val="28"/>
          <w:lang w:val="en-US"/>
        </w:rPr>
        <w:t xml:space="preserve"> filed before the European Court of Human Rights (ECtHR)</w:t>
      </w:r>
    </w:p>
    <w:p w14:paraId="559D5787" w14:textId="50BAC6B7" w:rsidR="008D4DEB" w:rsidRDefault="008D4DEB" w:rsidP="008D4DEB">
      <w:pPr>
        <w:spacing w:before="100" w:beforeAutospacing="1"/>
        <w:jc w:val="both"/>
        <w:rPr>
          <w:rFonts w:ascii="Garamond" w:hAnsi="Garamond"/>
          <w:b/>
          <w:bCs/>
          <w:i/>
          <w:lang w:val="en-GB"/>
        </w:rPr>
      </w:pPr>
      <w:r w:rsidRPr="00695BCC">
        <w:rPr>
          <w:rFonts w:ascii="Garamond" w:hAnsi="Garamond"/>
          <w:b/>
          <w:bCs/>
          <w:i/>
          <w:u w:val="single"/>
          <w:lang w:val="en-GB"/>
        </w:rPr>
        <w:t>Note</w:t>
      </w:r>
      <w:r w:rsidRPr="00695BCC">
        <w:rPr>
          <w:rFonts w:ascii="Garamond" w:hAnsi="Garamond"/>
          <w:b/>
          <w:bCs/>
          <w:i/>
          <w:lang w:val="en-GB"/>
        </w:rPr>
        <w:t xml:space="preserve">: This document provides the main arguments set out in </w:t>
      </w:r>
      <w:r>
        <w:rPr>
          <w:rFonts w:ascii="Garamond" w:hAnsi="Garamond"/>
          <w:b/>
          <w:bCs/>
          <w:i/>
          <w:lang w:val="en-GB"/>
        </w:rPr>
        <w:t>each</w:t>
      </w:r>
      <w:r w:rsidRPr="00695BCC">
        <w:rPr>
          <w:rFonts w:ascii="Garamond" w:hAnsi="Garamond"/>
          <w:b/>
          <w:bCs/>
          <w:i/>
          <w:lang w:val="en-GB"/>
        </w:rPr>
        <w:t xml:space="preserve"> </w:t>
      </w:r>
      <w:r>
        <w:rPr>
          <w:rFonts w:ascii="Garamond" w:hAnsi="Garamond"/>
          <w:b/>
          <w:bCs/>
          <w:i/>
          <w:lang w:val="en-GB"/>
        </w:rPr>
        <w:t>a</w:t>
      </w:r>
      <w:r w:rsidRPr="00695BCC">
        <w:rPr>
          <w:rFonts w:ascii="Garamond" w:hAnsi="Garamond"/>
          <w:b/>
          <w:bCs/>
          <w:i/>
          <w:lang w:val="en-GB"/>
        </w:rPr>
        <w:t>pplicatio</w:t>
      </w:r>
      <w:r>
        <w:rPr>
          <w:rFonts w:ascii="Garamond" w:hAnsi="Garamond"/>
          <w:b/>
          <w:bCs/>
          <w:i/>
          <w:lang w:val="en-GB"/>
        </w:rPr>
        <w:t>n</w:t>
      </w:r>
      <w:r w:rsidRPr="00695BCC">
        <w:rPr>
          <w:rFonts w:ascii="Garamond" w:hAnsi="Garamond"/>
          <w:b/>
          <w:bCs/>
          <w:i/>
          <w:lang w:val="en-GB"/>
        </w:rPr>
        <w:t xml:space="preserve"> and main </w:t>
      </w:r>
      <w:r>
        <w:rPr>
          <w:rFonts w:ascii="Garamond" w:hAnsi="Garamond"/>
          <w:b/>
          <w:bCs/>
          <w:i/>
          <w:lang w:val="en-GB"/>
        </w:rPr>
        <w:t>a</w:t>
      </w:r>
      <w:r w:rsidRPr="00695BCC">
        <w:rPr>
          <w:rFonts w:ascii="Garamond" w:hAnsi="Garamond"/>
          <w:b/>
          <w:bCs/>
          <w:i/>
          <w:lang w:val="en-GB"/>
        </w:rPr>
        <w:t>nnex filed with the ECtHR on 21 June</w:t>
      </w:r>
      <w:r>
        <w:rPr>
          <w:rFonts w:ascii="Garamond" w:hAnsi="Garamond"/>
          <w:b/>
          <w:bCs/>
          <w:i/>
          <w:lang w:val="en-GB"/>
        </w:rPr>
        <w:t xml:space="preserve"> 2022</w:t>
      </w:r>
      <w:r w:rsidRPr="00695BCC">
        <w:rPr>
          <w:rFonts w:ascii="Garamond" w:hAnsi="Garamond"/>
          <w:b/>
          <w:bCs/>
          <w:i/>
          <w:lang w:val="en-GB"/>
        </w:rPr>
        <w:t xml:space="preserve">, </w:t>
      </w:r>
      <w:r w:rsidRPr="00695BCC">
        <w:rPr>
          <w:rFonts w:ascii="Garamond" w:hAnsi="Garamond"/>
          <w:b/>
          <w:bCs/>
          <w:i/>
          <w:u w:val="single"/>
          <w:lang w:val="en-GB"/>
        </w:rPr>
        <w:t>for information purpose only</w:t>
      </w:r>
      <w:r w:rsidRPr="00695BCC">
        <w:rPr>
          <w:rFonts w:ascii="Garamond" w:hAnsi="Garamond"/>
          <w:b/>
          <w:bCs/>
          <w:i/>
          <w:lang w:val="en-GB"/>
        </w:rPr>
        <w:t xml:space="preserve">. </w:t>
      </w:r>
      <w:r>
        <w:rPr>
          <w:rFonts w:ascii="Garamond" w:hAnsi="Garamond"/>
          <w:b/>
          <w:bCs/>
          <w:i/>
          <w:lang w:val="en-GB"/>
        </w:rPr>
        <w:t>A</w:t>
      </w:r>
      <w:r w:rsidRPr="00695BCC">
        <w:rPr>
          <w:rFonts w:ascii="Garamond" w:hAnsi="Garamond"/>
          <w:b/>
          <w:bCs/>
          <w:i/>
          <w:lang w:val="en-GB"/>
        </w:rPr>
        <w:t xml:space="preserve">mendments have been made in </w:t>
      </w:r>
      <w:r>
        <w:rPr>
          <w:rFonts w:ascii="Garamond" w:hAnsi="Garamond"/>
          <w:b/>
          <w:bCs/>
          <w:i/>
          <w:lang w:val="en-GB"/>
        </w:rPr>
        <w:t>each</w:t>
      </w:r>
      <w:r w:rsidRPr="00695BCC">
        <w:rPr>
          <w:rFonts w:ascii="Garamond" w:hAnsi="Garamond"/>
          <w:b/>
          <w:bCs/>
          <w:i/>
          <w:lang w:val="en-GB"/>
        </w:rPr>
        <w:t xml:space="preserve"> application to reflect </w:t>
      </w:r>
      <w:r>
        <w:rPr>
          <w:rFonts w:ascii="Garamond" w:hAnsi="Garamond"/>
          <w:b/>
          <w:bCs/>
          <w:i/>
          <w:lang w:val="en-GB"/>
        </w:rPr>
        <w:t>each</w:t>
      </w:r>
      <w:r w:rsidRPr="00695BCC">
        <w:rPr>
          <w:rFonts w:ascii="Garamond" w:hAnsi="Garamond"/>
          <w:b/>
          <w:bCs/>
          <w:i/>
          <w:lang w:val="en-GB"/>
        </w:rPr>
        <w:t xml:space="preserve"> </w:t>
      </w:r>
      <w:r>
        <w:rPr>
          <w:rFonts w:ascii="Garamond" w:hAnsi="Garamond"/>
          <w:b/>
          <w:bCs/>
          <w:i/>
          <w:lang w:val="en-GB"/>
        </w:rPr>
        <w:t>a</w:t>
      </w:r>
      <w:r w:rsidRPr="00695BCC">
        <w:rPr>
          <w:rFonts w:ascii="Garamond" w:hAnsi="Garamond"/>
          <w:b/>
          <w:bCs/>
          <w:i/>
          <w:lang w:val="en-GB"/>
        </w:rPr>
        <w:t>pplicant</w:t>
      </w:r>
      <w:r>
        <w:rPr>
          <w:rFonts w:ascii="Garamond" w:hAnsi="Garamond"/>
          <w:b/>
          <w:bCs/>
          <w:i/>
          <w:lang w:val="en-GB"/>
        </w:rPr>
        <w:t>’</w:t>
      </w:r>
      <w:r w:rsidRPr="00695BCC">
        <w:rPr>
          <w:rFonts w:ascii="Garamond" w:hAnsi="Garamond"/>
          <w:b/>
          <w:bCs/>
          <w:i/>
          <w:lang w:val="en-GB"/>
        </w:rPr>
        <w:t>s situation and to adapt to the ECtHR’s mandatory format.</w:t>
      </w:r>
    </w:p>
    <w:p w14:paraId="1033BDF9" w14:textId="77777777" w:rsidR="008D4DEB" w:rsidRPr="00695BCC" w:rsidRDefault="008D4DEB" w:rsidP="008D4DEB">
      <w:pPr>
        <w:jc w:val="both"/>
        <w:rPr>
          <w:i/>
          <w:lang w:val="en-GB"/>
        </w:rPr>
      </w:pPr>
    </w:p>
    <w:p w14:paraId="569742C3" w14:textId="77777777" w:rsidR="008D4DEB" w:rsidRPr="00470D3B" w:rsidRDefault="008D4DEB" w:rsidP="008D4DEB">
      <w:pPr>
        <w:pStyle w:val="Titr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autoSpaceDE/>
        <w:autoSpaceDN/>
        <w:adjustRightInd/>
        <w:spacing w:before="120" w:after="240"/>
        <w:ind w:left="0"/>
        <w:jc w:val="center"/>
        <w:rPr>
          <w:rFonts w:ascii="Garamond" w:eastAsiaTheme="majorEastAsia" w:hAnsi="Garamond"/>
          <w:b/>
          <w:bCs/>
          <w:color w:val="046A74"/>
          <w:spacing w:val="-10"/>
          <w:kern w:val="28"/>
          <w:sz w:val="28"/>
          <w:lang w:val="en-US"/>
        </w:rPr>
      </w:pPr>
      <w:r w:rsidRPr="00470D3B">
        <w:rPr>
          <w:rFonts w:ascii="Garamond" w:eastAsiaTheme="majorEastAsia" w:hAnsi="Garamond"/>
          <w:b/>
          <w:bCs/>
          <w:color w:val="046A74"/>
          <w:spacing w:val="-10"/>
          <w:kern w:val="28"/>
          <w:sz w:val="28"/>
          <w:lang w:val="en-US"/>
        </w:rPr>
        <w:t>APPLICATION FORM</w:t>
      </w:r>
    </w:p>
    <w:p w14:paraId="03E92123" w14:textId="77777777" w:rsidR="008D4DEB" w:rsidRPr="00B168A6" w:rsidRDefault="008D4DEB" w:rsidP="00B5680D">
      <w:pPr>
        <w:spacing w:before="360" w:after="240"/>
        <w:jc w:val="both"/>
        <w:rPr>
          <w:rFonts w:ascii="Garamond" w:hAnsi="Garamond"/>
          <w:b/>
          <w:i/>
          <w:iCs/>
          <w:u w:val="single"/>
          <w:lang w:val="en-GB"/>
        </w:rPr>
      </w:pPr>
      <w:r w:rsidRPr="00B168A6">
        <w:rPr>
          <w:rFonts w:ascii="Garamond" w:hAnsi="Garamond" w:cstheme="minorHAnsi"/>
          <w:b/>
          <w:bCs/>
          <w:i/>
          <w:iCs/>
          <w:u w:val="single"/>
          <w:lang w:val="en-GB"/>
        </w:rPr>
        <w:t>STATEMENT OF THE FACTS</w:t>
      </w:r>
    </w:p>
    <w:p w14:paraId="21A8FD94" w14:textId="77777777" w:rsidR="008D4DEB" w:rsidRPr="00C453FF" w:rsidRDefault="008D4DEB">
      <w:pPr>
        <w:pStyle w:val="Paragraphedeliste"/>
        <w:numPr>
          <w:ilvl w:val="0"/>
          <w:numId w:val="7"/>
        </w:numPr>
        <w:spacing w:beforeLines="60" w:before="144" w:afterLines="60" w:after="144" w:line="240" w:lineRule="auto"/>
        <w:contextualSpacing w:val="0"/>
        <w:jc w:val="both"/>
        <w:rPr>
          <w:rFonts w:ascii="Garamond" w:hAnsi="Garamond" w:cs="Times New Roman"/>
          <w:szCs w:val="24"/>
          <w:lang w:val="en-GB"/>
        </w:rPr>
      </w:pPr>
      <w:r w:rsidRPr="00C453FF">
        <w:rPr>
          <w:rFonts w:ascii="Garamond" w:hAnsi="Garamond"/>
          <w:szCs w:val="24"/>
          <w:lang w:val="en-GB"/>
        </w:rPr>
        <w:t>The Applicant applies to bring claims against Austria, Belgium, Cyprus, Denmark, France, Germany, Greece, Luxembourg, the Netherlands, Sweden, Switzerland and the United Kingdom</w:t>
      </w:r>
      <w:r w:rsidRPr="00C453FF">
        <w:rPr>
          <w:rFonts w:ascii="Garamond" w:hAnsi="Garamond"/>
          <w:i/>
          <w:iCs/>
          <w:szCs w:val="24"/>
          <w:lang w:val="en-GB"/>
        </w:rPr>
        <w:t xml:space="preserve"> </w:t>
      </w:r>
      <w:r w:rsidRPr="00C453FF">
        <w:rPr>
          <w:rFonts w:ascii="Garamond" w:hAnsi="Garamond"/>
          <w:szCs w:val="24"/>
          <w:lang w:val="en-GB"/>
        </w:rPr>
        <w:t xml:space="preserve">with respect to the impact of the Energy Charter Treaty 1994 (the “ECT”) concerning the energy transition, climate </w:t>
      </w:r>
      <w:r w:rsidRPr="00274EAF">
        <w:rPr>
          <w:rFonts w:ascii="Garamond" w:hAnsi="Garamond"/>
          <w:szCs w:val="24"/>
          <w:lang w:val="en-GB"/>
        </w:rPr>
        <w:t>change, and his</w:t>
      </w:r>
      <w:r>
        <w:rPr>
          <w:rFonts w:ascii="Garamond" w:hAnsi="Garamond"/>
          <w:szCs w:val="24"/>
          <w:lang w:val="en-GB"/>
        </w:rPr>
        <w:t>/her</w:t>
      </w:r>
      <w:r w:rsidRPr="00274EAF">
        <w:rPr>
          <w:rFonts w:ascii="Garamond" w:hAnsi="Garamond"/>
          <w:szCs w:val="24"/>
          <w:lang w:val="en-GB"/>
        </w:rPr>
        <w:t xml:space="preserve"> rights</w:t>
      </w:r>
      <w:r w:rsidRPr="00C453FF">
        <w:rPr>
          <w:rFonts w:ascii="Garamond" w:hAnsi="Garamond"/>
          <w:szCs w:val="24"/>
          <w:lang w:val="en-GB"/>
        </w:rPr>
        <w:t xml:space="preserve"> under Articles 2, 3, 8 and 14 of the Convention. The Respondent States, in ratifying the ECT, have afforded private investors in the energy sector extensive protection against regulatory changes and access to exorbitant remedies through the ECT’s investor-State dispute settlement (“ISDS”) mechanism. The ECT in its current form significantly impairs the Respondent States’ and other ECT Contracting Parties’ capacity to take immediate measures to respond to climate change. </w:t>
      </w:r>
    </w:p>
    <w:p w14:paraId="6B14E3A4" w14:textId="77777777" w:rsidR="008D4DEB" w:rsidRPr="00B168A6" w:rsidRDefault="008D4DEB" w:rsidP="008D4DEB">
      <w:pPr>
        <w:spacing w:after="240"/>
        <w:jc w:val="both"/>
        <w:rPr>
          <w:rFonts w:ascii="Garamond" w:hAnsi="Garamond"/>
          <w:b/>
          <w:color w:val="002060"/>
          <w:lang w:val="en-GB"/>
        </w:rPr>
      </w:pPr>
      <w:r w:rsidRPr="00B168A6">
        <w:rPr>
          <w:rFonts w:ascii="Garamond" w:hAnsi="Garamond"/>
          <w:b/>
          <w:color w:val="002060"/>
          <w:lang w:val="en-GB"/>
        </w:rPr>
        <w:t>CLIMATE CHANGE, HUMAN RIGHTS AND THE APPLICANT</w:t>
      </w:r>
    </w:p>
    <w:p w14:paraId="1B6DF25B" w14:textId="77777777" w:rsidR="008D4DEB" w:rsidRDefault="008D4DEB">
      <w:pPr>
        <w:pStyle w:val="Paragraphedeliste"/>
        <w:numPr>
          <w:ilvl w:val="0"/>
          <w:numId w:val="7"/>
        </w:numPr>
        <w:spacing w:beforeLines="60" w:before="144" w:afterLines="60" w:after="144" w:line="240" w:lineRule="auto"/>
        <w:contextualSpacing w:val="0"/>
        <w:jc w:val="both"/>
        <w:rPr>
          <w:rFonts w:ascii="Garamond" w:hAnsi="Garamond"/>
          <w:szCs w:val="24"/>
          <w:lang w:val="en-GB"/>
        </w:rPr>
      </w:pPr>
      <w:r w:rsidRPr="00D43F95">
        <w:rPr>
          <w:rFonts w:ascii="Garamond" w:hAnsi="Garamond"/>
          <w:szCs w:val="24"/>
          <w:lang w:val="en-GB"/>
        </w:rPr>
        <w:t>Climate change is universally recognised by States to be a “</w:t>
      </w:r>
      <w:r w:rsidRPr="00D43F95">
        <w:rPr>
          <w:rFonts w:ascii="Garamond" w:hAnsi="Garamond"/>
          <w:i/>
          <w:szCs w:val="24"/>
          <w:lang w:val="en-GB"/>
        </w:rPr>
        <w:t>common concern of humankind</w:t>
      </w:r>
      <w:r w:rsidRPr="00D43F95">
        <w:rPr>
          <w:rFonts w:ascii="Garamond" w:hAnsi="Garamond"/>
          <w:szCs w:val="24"/>
          <w:lang w:val="en-GB"/>
        </w:rPr>
        <w:t xml:space="preserve">” (Preamble to the Paris Agreement). The significant adverse impact of climate change on the enjoyment of human rights is </w:t>
      </w:r>
      <w:r w:rsidRPr="005F3BEE">
        <w:rPr>
          <w:rFonts w:ascii="Garamond" w:hAnsi="Garamond"/>
          <w:szCs w:val="24"/>
          <w:lang w:val="en-GB"/>
        </w:rPr>
        <w:t>now widely acknowledged by the international scientific,</w:t>
      </w:r>
      <w:r w:rsidRPr="005F3BEE">
        <w:rPr>
          <w:rStyle w:val="Appelnotedebasdep"/>
          <w:rFonts w:ascii="Garamond" w:hAnsi="Garamond"/>
          <w:szCs w:val="24"/>
          <w:lang w:val="en-GB"/>
        </w:rPr>
        <w:footnoteReference w:id="2"/>
      </w:r>
      <w:r w:rsidRPr="005F3BEE">
        <w:rPr>
          <w:rFonts w:ascii="Garamond" w:hAnsi="Garamond"/>
          <w:szCs w:val="24"/>
          <w:lang w:val="en-GB"/>
        </w:rPr>
        <w:t xml:space="preserve"> political</w:t>
      </w:r>
      <w:r w:rsidRPr="005F3BEE">
        <w:rPr>
          <w:rFonts w:ascii="Garamond" w:hAnsi="Garamond"/>
          <w:szCs w:val="24"/>
          <w:vertAlign w:val="superscript"/>
          <w:lang w:val="en-GB"/>
        </w:rPr>
        <w:footnoteReference w:id="3"/>
      </w:r>
      <w:r w:rsidRPr="005F3BEE">
        <w:rPr>
          <w:rFonts w:ascii="Garamond" w:hAnsi="Garamond"/>
          <w:szCs w:val="24"/>
          <w:lang w:val="en-GB"/>
        </w:rPr>
        <w:t xml:space="preserve"> and judicial community (Annex, §32).</w:t>
      </w:r>
    </w:p>
    <w:p w14:paraId="63F75690" w14:textId="77777777" w:rsidR="008D4DEB" w:rsidRPr="000E3B8F" w:rsidRDefault="008D4DEB">
      <w:pPr>
        <w:pStyle w:val="Paragraphedeliste"/>
        <w:numPr>
          <w:ilvl w:val="0"/>
          <w:numId w:val="7"/>
        </w:numPr>
        <w:spacing w:beforeLines="60" w:before="144" w:afterLines="60" w:after="144" w:line="240" w:lineRule="auto"/>
        <w:contextualSpacing w:val="0"/>
        <w:jc w:val="both"/>
        <w:rPr>
          <w:rFonts w:ascii="Garamond" w:hAnsi="Garamond"/>
          <w:szCs w:val="24"/>
          <w:lang w:val="en-GB"/>
        </w:rPr>
      </w:pPr>
      <w:r w:rsidRPr="000E3B8F">
        <w:rPr>
          <w:rFonts w:ascii="Garamond" w:hAnsi="Garamond" w:cs="Times New Roman"/>
          <w:szCs w:val="24"/>
          <w:lang w:val="en-GB"/>
        </w:rPr>
        <w:t>Global warming was c.1.09</w:t>
      </w:r>
      <w:r w:rsidRPr="000E3B8F">
        <w:rPr>
          <w:rFonts w:cs="Times New Roman"/>
          <w:szCs w:val="24"/>
          <w:lang w:val="en-GB" w:eastAsia="ja-JP"/>
        </w:rPr>
        <w:t>℃</w:t>
      </w:r>
      <w:r w:rsidRPr="000E3B8F">
        <w:rPr>
          <w:rFonts w:ascii="Garamond" w:hAnsi="Garamond" w:cs="Times New Roman"/>
          <w:szCs w:val="24"/>
          <w:lang w:val="en-US" w:eastAsia="ja-JP"/>
        </w:rPr>
        <w:t xml:space="preserve"> higher in the last decade than in 1850-1900</w:t>
      </w:r>
      <w:r w:rsidRPr="00D43F95">
        <w:rPr>
          <w:rFonts w:ascii="Garamond" w:hAnsi="Garamond"/>
          <w:szCs w:val="24"/>
          <w:vertAlign w:val="superscript"/>
          <w:lang w:val="en-GB"/>
        </w:rPr>
        <w:footnoteReference w:id="4"/>
      </w:r>
      <w:r>
        <w:rPr>
          <w:rFonts w:ascii="Garamond" w:hAnsi="Garamond"/>
          <w:szCs w:val="24"/>
          <w:lang w:val="en-GB"/>
        </w:rPr>
        <w:t xml:space="preserve"> </w:t>
      </w:r>
      <w:r w:rsidRPr="000E3B8F">
        <w:rPr>
          <w:rFonts w:ascii="Garamond" w:hAnsi="Garamond" w:cs="Times New Roman"/>
          <w:szCs w:val="24"/>
          <w:lang w:val="en-US" w:eastAsia="ja-JP"/>
        </w:rPr>
        <w:t>and is on course to exceed 1.5</w:t>
      </w:r>
      <w:r w:rsidRPr="000E3B8F">
        <w:rPr>
          <w:rFonts w:cs="Times New Roman"/>
          <w:szCs w:val="24"/>
          <w:lang w:val="en-US" w:eastAsia="ja-JP"/>
        </w:rPr>
        <w:t>℃</w:t>
      </w:r>
      <w:r w:rsidRPr="000E3B8F">
        <w:rPr>
          <w:rFonts w:ascii="Garamond" w:hAnsi="Garamond" w:cs="Times New Roman"/>
          <w:szCs w:val="24"/>
          <w:lang w:val="en-US" w:eastAsia="ja-JP"/>
        </w:rPr>
        <w:t xml:space="preserve"> and 2</w:t>
      </w:r>
      <w:r w:rsidRPr="000E3B8F">
        <w:rPr>
          <w:rFonts w:cs="Times New Roman"/>
          <w:szCs w:val="24"/>
          <w:lang w:val="en-US" w:eastAsia="ja-JP"/>
        </w:rPr>
        <w:t>℃</w:t>
      </w:r>
      <w:r w:rsidRPr="005752DA">
        <w:rPr>
          <w:rFonts w:ascii="Garamond" w:hAnsi="Garamond" w:cs="Times New Roman"/>
          <w:szCs w:val="24"/>
          <w:lang w:val="en-US" w:eastAsia="ja-JP"/>
        </w:rPr>
        <w:t xml:space="preserve"> </w:t>
      </w:r>
      <w:r w:rsidRPr="000E3B8F">
        <w:rPr>
          <w:rFonts w:ascii="Garamond" w:hAnsi="Garamond" w:cs="Times New Roman"/>
          <w:szCs w:val="24"/>
          <w:lang w:val="en-US" w:eastAsia="ja-JP"/>
        </w:rPr>
        <w:t>during the 21</w:t>
      </w:r>
      <w:r w:rsidRPr="000E3B8F">
        <w:rPr>
          <w:rFonts w:ascii="Garamond" w:hAnsi="Garamond" w:cs="Times New Roman"/>
          <w:szCs w:val="24"/>
          <w:vertAlign w:val="superscript"/>
          <w:lang w:val="en-US" w:eastAsia="ja-JP"/>
        </w:rPr>
        <w:t>st</w:t>
      </w:r>
      <w:r w:rsidRPr="000E3B8F">
        <w:rPr>
          <w:rFonts w:ascii="Garamond" w:hAnsi="Garamond" w:cs="Times New Roman"/>
          <w:szCs w:val="24"/>
          <w:lang w:val="en-US" w:eastAsia="ja-JP"/>
        </w:rPr>
        <w:t xml:space="preserve"> century unless deep greenhouses gas (GHG) emissions</w:t>
      </w:r>
      <w:r>
        <w:rPr>
          <w:rFonts w:ascii="Garamond" w:hAnsi="Garamond" w:cs="Times New Roman"/>
          <w:szCs w:val="24"/>
          <w:lang w:val="en-US" w:eastAsia="ja-JP"/>
        </w:rPr>
        <w:t xml:space="preserve"> reductions</w:t>
      </w:r>
      <w:r w:rsidRPr="000E3B8F">
        <w:rPr>
          <w:rFonts w:ascii="Garamond" w:hAnsi="Garamond" w:cs="Times New Roman"/>
          <w:szCs w:val="24"/>
          <w:lang w:val="en-US" w:eastAsia="ja-JP"/>
        </w:rPr>
        <w:t xml:space="preserve"> occur in the coming decades.</w:t>
      </w:r>
      <w:r w:rsidRPr="00D43F95">
        <w:rPr>
          <w:rFonts w:ascii="Garamond" w:hAnsi="Garamond"/>
          <w:szCs w:val="24"/>
          <w:vertAlign w:val="superscript"/>
          <w:lang w:val="en-GB"/>
        </w:rPr>
        <w:footnoteReference w:id="5"/>
      </w:r>
      <w:r w:rsidRPr="000E3B8F">
        <w:rPr>
          <w:rFonts w:ascii="Garamond" w:hAnsi="Garamond" w:cs="Times New Roman"/>
          <w:szCs w:val="24"/>
          <w:lang w:val="en-US" w:eastAsia="ja-JP"/>
        </w:rPr>
        <w:t xml:space="preserve"> According to t</w:t>
      </w:r>
      <w:r w:rsidRPr="000E3B8F">
        <w:rPr>
          <w:rFonts w:ascii="Garamond" w:hAnsi="Garamond"/>
          <w:szCs w:val="24"/>
          <w:lang w:val="en-GB"/>
        </w:rPr>
        <w:t xml:space="preserve">he IPCC </w:t>
      </w:r>
      <w:r>
        <w:rPr>
          <w:rFonts w:ascii="Garamond" w:hAnsi="Garamond"/>
          <w:szCs w:val="24"/>
          <w:lang w:val="en-GB"/>
        </w:rPr>
        <w:t>“</w:t>
      </w:r>
      <w:r w:rsidRPr="00AE2245">
        <w:rPr>
          <w:rFonts w:ascii="Garamond" w:hAnsi="Garamond"/>
          <w:i/>
          <w:szCs w:val="24"/>
          <w:lang w:val="en-GB"/>
        </w:rPr>
        <w:t>many changes due to past and future GHG emissions are irreversible for centuries to millennia</w:t>
      </w:r>
      <w:r>
        <w:rPr>
          <w:rFonts w:ascii="Garamond" w:hAnsi="Garamond"/>
          <w:szCs w:val="24"/>
          <w:lang w:val="en-GB"/>
        </w:rPr>
        <w:t>”</w:t>
      </w:r>
      <w:r w:rsidRPr="000E3B8F">
        <w:rPr>
          <w:rFonts w:ascii="Garamond" w:hAnsi="Garamond"/>
          <w:szCs w:val="24"/>
          <w:lang w:val="en-GB"/>
        </w:rPr>
        <w:t xml:space="preserve"> and </w:t>
      </w:r>
      <w:r>
        <w:rPr>
          <w:rFonts w:ascii="Garamond" w:hAnsi="Garamond"/>
          <w:szCs w:val="24"/>
          <w:lang w:val="en-GB"/>
        </w:rPr>
        <w:t>“</w:t>
      </w:r>
      <w:r w:rsidRPr="00AE2245">
        <w:rPr>
          <w:rFonts w:ascii="Garamond" w:hAnsi="Garamond"/>
          <w:i/>
          <w:szCs w:val="24"/>
          <w:lang w:val="en-GB"/>
        </w:rPr>
        <w:t>every additional 0.5°C of global warming causes clearly discernible increases in the intensity and the frequency of hot extremes including heatwaves and heavy precipitation</w:t>
      </w:r>
      <w:r>
        <w:rPr>
          <w:rFonts w:ascii="Garamond" w:hAnsi="Garamond"/>
          <w:szCs w:val="24"/>
          <w:lang w:val="en-GB"/>
        </w:rPr>
        <w:t>”.</w:t>
      </w:r>
      <w:r w:rsidRPr="000E3B8F">
        <w:rPr>
          <w:rStyle w:val="Appelnotedebasdep"/>
          <w:rFonts w:ascii="Garamond" w:hAnsi="Garamond"/>
          <w:szCs w:val="24"/>
          <w:lang w:val="en-GB"/>
        </w:rPr>
        <w:footnoteReference w:id="6"/>
      </w:r>
      <w:r w:rsidRPr="000E3B8F">
        <w:rPr>
          <w:rFonts w:ascii="Garamond" w:hAnsi="Garamond" w:cs="Times New Roman"/>
          <w:szCs w:val="24"/>
          <w:lang w:val="en-GB"/>
        </w:rPr>
        <w:t xml:space="preserve"> This is already having a significant impact upon the rights to life, and to private and family life of the Applicant who has directly suffered from </w:t>
      </w:r>
      <w:r>
        <w:rPr>
          <w:rFonts w:ascii="Garamond" w:hAnsi="Garamond" w:cs="Times New Roman"/>
          <w:szCs w:val="24"/>
          <w:lang w:val="en-GB"/>
        </w:rPr>
        <w:t xml:space="preserve">extreme </w:t>
      </w:r>
      <w:r w:rsidRPr="0084519B">
        <w:rPr>
          <w:rFonts w:ascii="Garamond" w:hAnsi="Garamond" w:cs="Times New Roman"/>
          <w:szCs w:val="24"/>
          <w:lang w:val="en-GB"/>
        </w:rPr>
        <w:t xml:space="preserve">climate-related weather </w:t>
      </w:r>
      <w:r>
        <w:rPr>
          <w:rFonts w:ascii="Garamond" w:hAnsi="Garamond" w:cs="Times New Roman"/>
          <w:szCs w:val="24"/>
          <w:lang w:val="en-GB"/>
        </w:rPr>
        <w:t>events</w:t>
      </w:r>
      <w:r w:rsidRPr="00D43F95">
        <w:rPr>
          <w:rFonts w:ascii="Garamond" w:hAnsi="Garamond" w:cs="Times New Roman"/>
          <w:szCs w:val="24"/>
          <w:lang w:val="en-GB"/>
        </w:rPr>
        <w:t xml:space="preserve"> </w:t>
      </w:r>
      <w:r w:rsidRPr="00DE5CA8">
        <w:rPr>
          <w:rFonts w:ascii="Garamond" w:hAnsi="Garamond" w:cs="Times New Roman"/>
          <w:szCs w:val="24"/>
          <w:lang w:val="en-GB"/>
        </w:rPr>
        <w:t>[flooding /forest fires and extreme heat/ hurricane</w:t>
      </w:r>
      <w:r w:rsidRPr="00DE5CA8">
        <w:rPr>
          <w:rFonts w:ascii="Garamond" w:hAnsi="Garamond"/>
          <w:szCs w:val="24"/>
          <w:lang w:val="en-GB"/>
        </w:rPr>
        <w:t>]</w:t>
      </w:r>
      <w:r w:rsidRPr="00DE5CA8">
        <w:rPr>
          <w:rFonts w:ascii="Garamond" w:hAnsi="Garamond" w:cs="Times New Roman"/>
          <w:szCs w:val="24"/>
          <w:lang w:val="en-GB"/>
        </w:rPr>
        <w:t>, leading to both material and mental</w:t>
      </w:r>
      <w:r w:rsidRPr="000E3B8F">
        <w:rPr>
          <w:rFonts w:ascii="Garamond" w:hAnsi="Garamond" w:cs="Times New Roman"/>
          <w:szCs w:val="24"/>
          <w:lang w:val="en-GB"/>
        </w:rPr>
        <w:t xml:space="preserve"> health </w:t>
      </w:r>
      <w:r w:rsidRPr="000E3B8F">
        <w:rPr>
          <w:rFonts w:ascii="Garamond" w:hAnsi="Garamond" w:cs="Times New Roman"/>
          <w:szCs w:val="24"/>
          <w:lang w:val="en-GB"/>
        </w:rPr>
        <w:lastRenderedPageBreak/>
        <w:t>impacts (</w:t>
      </w:r>
      <w:r w:rsidRPr="000E3B8F">
        <w:rPr>
          <w:rFonts w:ascii="Garamond" w:hAnsi="Garamond"/>
          <w:szCs w:val="24"/>
          <w:lang w:val="en-GB"/>
        </w:rPr>
        <w:t>Applicant’s statement)</w:t>
      </w:r>
      <w:r w:rsidRPr="000E3B8F">
        <w:rPr>
          <w:rFonts w:ascii="Garamond" w:hAnsi="Garamond" w:cs="Times New Roman"/>
          <w:szCs w:val="24"/>
          <w:lang w:val="en-GB"/>
        </w:rPr>
        <w:t>. Such events will become more frequent and their impacts will be more severe beyond 1.5</w:t>
      </w:r>
      <w:r w:rsidRPr="000E3B8F">
        <w:rPr>
          <w:rFonts w:cs="Times New Roman"/>
          <w:szCs w:val="24"/>
          <w:lang w:val="en-GB" w:eastAsia="ja-JP"/>
        </w:rPr>
        <w:t>℃</w:t>
      </w:r>
      <w:r w:rsidRPr="000E3B8F">
        <w:rPr>
          <w:rFonts w:ascii="Garamond" w:hAnsi="Garamond"/>
          <w:szCs w:val="24"/>
          <w:lang w:val="en-GB"/>
        </w:rPr>
        <w:t xml:space="preserve"> including in the region where the Applicant resides</w:t>
      </w:r>
      <w:r>
        <w:rPr>
          <w:rFonts w:ascii="Garamond" w:hAnsi="Garamond"/>
          <w:szCs w:val="24"/>
          <w:lang w:val="en-GB"/>
        </w:rPr>
        <w:t>.</w:t>
      </w:r>
      <w:r w:rsidRPr="000E3B8F">
        <w:rPr>
          <w:rFonts w:ascii="Garamond" w:hAnsi="Garamond"/>
          <w:szCs w:val="24"/>
          <w:vertAlign w:val="superscript"/>
          <w:lang w:val="en-GB"/>
        </w:rPr>
        <w:footnoteReference w:id="7"/>
      </w:r>
    </w:p>
    <w:p w14:paraId="22C0B36C" w14:textId="77777777" w:rsidR="008D4DEB" w:rsidRPr="00D43F95" w:rsidRDefault="008D4DEB">
      <w:pPr>
        <w:pStyle w:val="Paragraphedeliste"/>
        <w:numPr>
          <w:ilvl w:val="0"/>
          <w:numId w:val="7"/>
        </w:numPr>
        <w:spacing w:beforeLines="60" w:before="144" w:afterLines="60" w:after="144" w:line="240" w:lineRule="auto"/>
        <w:contextualSpacing w:val="0"/>
        <w:jc w:val="both"/>
        <w:rPr>
          <w:rFonts w:ascii="Garamond" w:hAnsi="Garamond"/>
          <w:szCs w:val="24"/>
          <w:lang w:val="en-GB"/>
        </w:rPr>
      </w:pPr>
      <w:r w:rsidRPr="00D43F95">
        <w:rPr>
          <w:rFonts w:ascii="Garamond" w:hAnsi="Garamond"/>
          <w:szCs w:val="24"/>
          <w:lang w:val="en-GB"/>
        </w:rPr>
        <w:t xml:space="preserve">The legal framework on the issue of climate change is </w:t>
      </w:r>
      <w:r>
        <w:rPr>
          <w:rFonts w:ascii="Garamond" w:hAnsi="Garamond"/>
          <w:szCs w:val="24"/>
          <w:lang w:val="en-GB"/>
        </w:rPr>
        <w:t xml:space="preserve">principally </w:t>
      </w:r>
      <w:r w:rsidRPr="00D43F95">
        <w:rPr>
          <w:rFonts w:ascii="Garamond" w:hAnsi="Garamond"/>
          <w:szCs w:val="24"/>
          <w:lang w:val="en-GB"/>
        </w:rPr>
        <w:t xml:space="preserve">composed of the UN Convention on </w:t>
      </w:r>
      <w:r>
        <w:rPr>
          <w:rFonts w:ascii="Garamond" w:hAnsi="Garamond"/>
          <w:szCs w:val="24"/>
          <w:lang w:val="en-GB"/>
        </w:rPr>
        <w:t>C</w:t>
      </w:r>
      <w:r w:rsidRPr="00D43F95">
        <w:rPr>
          <w:rFonts w:ascii="Garamond" w:hAnsi="Garamond"/>
          <w:szCs w:val="24"/>
          <w:lang w:val="en-GB"/>
        </w:rPr>
        <w:t xml:space="preserve">limate </w:t>
      </w:r>
      <w:r>
        <w:rPr>
          <w:rFonts w:ascii="Garamond" w:hAnsi="Garamond"/>
          <w:szCs w:val="24"/>
          <w:lang w:val="en-GB"/>
        </w:rPr>
        <w:t>C</w:t>
      </w:r>
      <w:r w:rsidRPr="00D43F95">
        <w:rPr>
          <w:rFonts w:ascii="Garamond" w:hAnsi="Garamond"/>
          <w:szCs w:val="24"/>
          <w:lang w:val="en-GB"/>
        </w:rPr>
        <w:t>hange (UNFCCC) and the Paris Agreement, whose Article 2 notably enshrines the goal of “</w:t>
      </w:r>
      <w:r w:rsidRPr="00D43F95">
        <w:rPr>
          <w:rFonts w:ascii="Garamond" w:hAnsi="Garamond"/>
          <w:i/>
          <w:szCs w:val="24"/>
          <w:lang w:val="en-GB"/>
        </w:rPr>
        <w:t>holding the increase in the global average temperature to well below 2°C above pre-industrial levels and pursuing efforts</w:t>
      </w:r>
      <w:r w:rsidRPr="00D43F95">
        <w:rPr>
          <w:rFonts w:ascii="Garamond" w:hAnsi="Garamond"/>
          <w:i/>
          <w:lang w:val="en-GB"/>
        </w:rPr>
        <w:t xml:space="preserve"> to </w:t>
      </w:r>
      <w:r w:rsidRPr="00D43F95">
        <w:rPr>
          <w:rFonts w:ascii="Garamond" w:hAnsi="Garamond"/>
          <w:i/>
          <w:szCs w:val="24"/>
          <w:lang w:val="en-GB"/>
        </w:rPr>
        <w:t>limit the temperature increase to 1.5°C above pre-industrial levels</w:t>
      </w:r>
      <w:r w:rsidRPr="00D43F95">
        <w:rPr>
          <w:rFonts w:ascii="Garamond" w:hAnsi="Garamond"/>
          <w:szCs w:val="24"/>
          <w:lang w:val="en-GB"/>
        </w:rPr>
        <w:t>”.</w:t>
      </w:r>
    </w:p>
    <w:p w14:paraId="55AFF94B" w14:textId="77777777" w:rsidR="008D4DEB" w:rsidRPr="0077112A" w:rsidRDefault="008D4DEB">
      <w:pPr>
        <w:pStyle w:val="Paragraphedeliste"/>
        <w:numPr>
          <w:ilvl w:val="0"/>
          <w:numId w:val="7"/>
        </w:numPr>
        <w:spacing w:beforeLines="60" w:before="144" w:afterLines="150" w:after="360" w:line="240" w:lineRule="auto"/>
        <w:ind w:left="714" w:hanging="357"/>
        <w:contextualSpacing w:val="0"/>
        <w:jc w:val="both"/>
        <w:rPr>
          <w:rFonts w:ascii="Garamond" w:hAnsi="Garamond" w:cs="Times New Roman"/>
          <w:szCs w:val="24"/>
          <w:lang w:val="en-GB"/>
        </w:rPr>
      </w:pPr>
      <w:r w:rsidRPr="00631582">
        <w:rPr>
          <w:rFonts w:ascii="Garamond" w:hAnsi="Garamond" w:cs="Times New Roman"/>
          <w:szCs w:val="24"/>
          <w:lang w:val="en-GB"/>
        </w:rPr>
        <w:t xml:space="preserve">The Respondent States must drastically and immediately reduce </w:t>
      </w:r>
      <w:r w:rsidRPr="00631582">
        <w:rPr>
          <w:rFonts w:ascii="Garamond" w:hAnsi="Garamond"/>
          <w:szCs w:val="24"/>
          <w:lang w:val="en-GB"/>
        </w:rPr>
        <w:t>global GHG</w:t>
      </w:r>
      <w:r>
        <w:rPr>
          <w:rFonts w:ascii="Garamond" w:hAnsi="Garamond"/>
          <w:szCs w:val="24"/>
          <w:lang w:val="en-GB"/>
        </w:rPr>
        <w:t xml:space="preserve"> </w:t>
      </w:r>
      <w:r w:rsidRPr="00631582">
        <w:rPr>
          <w:rFonts w:ascii="Garamond" w:hAnsi="Garamond"/>
          <w:szCs w:val="24"/>
          <w:lang w:val="en-GB"/>
        </w:rPr>
        <w:t xml:space="preserve">emissions. According to the IPCC, policies implemented by the end of 2020 are projected to result in higher emissions than in those announced at COP26 which </w:t>
      </w:r>
      <w:r>
        <w:rPr>
          <w:rFonts w:ascii="Garamond" w:hAnsi="Garamond"/>
          <w:szCs w:val="24"/>
          <w:lang w:val="en-GB"/>
        </w:rPr>
        <w:t>are projected above the</w:t>
      </w:r>
      <w:r w:rsidRPr="00631582">
        <w:rPr>
          <w:rFonts w:ascii="Garamond" w:hAnsi="Garamond" w:cs="Times New Roman"/>
          <w:szCs w:val="24"/>
          <w:lang w:val="en-GB"/>
        </w:rPr>
        <w:t xml:space="preserve"> limit </w:t>
      </w:r>
      <w:r>
        <w:rPr>
          <w:rFonts w:ascii="Garamond" w:hAnsi="Garamond" w:cs="Times New Roman"/>
          <w:szCs w:val="24"/>
          <w:lang w:val="en-GB"/>
        </w:rPr>
        <w:t xml:space="preserve">of </w:t>
      </w:r>
      <w:r w:rsidRPr="00631582">
        <w:rPr>
          <w:rFonts w:ascii="Garamond" w:hAnsi="Garamond" w:cs="Times New Roman"/>
          <w:szCs w:val="24"/>
          <w:lang w:val="en-GB"/>
        </w:rPr>
        <w:t xml:space="preserve">global warming </w:t>
      </w:r>
      <w:r>
        <w:rPr>
          <w:rFonts w:ascii="Garamond" w:hAnsi="Garamond" w:cs="Times New Roman"/>
          <w:szCs w:val="24"/>
          <w:lang w:val="en-GB"/>
        </w:rPr>
        <w:t>of</w:t>
      </w:r>
      <w:r w:rsidRPr="00631582">
        <w:rPr>
          <w:rFonts w:ascii="Garamond" w:hAnsi="Garamond" w:cs="Times New Roman"/>
          <w:szCs w:val="24"/>
          <w:lang w:val="en-GB"/>
        </w:rPr>
        <w:t xml:space="preserve"> the Paris Agreement’s long-term temperature goal of 1.5</w:t>
      </w:r>
      <w:r w:rsidRPr="00631582">
        <w:rPr>
          <w:rFonts w:cs="Times New Roman"/>
          <w:szCs w:val="24"/>
          <w:lang w:val="en-GB" w:eastAsia="ja-JP"/>
        </w:rPr>
        <w:t xml:space="preserve">℃ </w:t>
      </w:r>
      <w:r w:rsidRPr="00631582">
        <w:rPr>
          <w:rFonts w:ascii="Garamond" w:hAnsi="Garamond" w:cs="Times New Roman"/>
          <w:szCs w:val="24"/>
          <w:lang w:val="en-GB" w:eastAsia="ja-JP"/>
        </w:rPr>
        <w:t>(the “LTTG of 1.5°C”)</w:t>
      </w:r>
      <w:r>
        <w:rPr>
          <w:rFonts w:ascii="Garamond" w:hAnsi="Garamond" w:cs="Times New Roman"/>
          <w:szCs w:val="24"/>
          <w:lang w:val="en-GB" w:eastAsia="ja-JP"/>
        </w:rPr>
        <w:t>.</w:t>
      </w:r>
      <w:r w:rsidRPr="00D43F95">
        <w:rPr>
          <w:rStyle w:val="Appelnotedebasdep"/>
          <w:rFonts w:ascii="Garamond" w:hAnsi="Garamond"/>
          <w:szCs w:val="24"/>
          <w:lang w:val="en-GB"/>
        </w:rPr>
        <w:footnoteReference w:id="8"/>
      </w:r>
      <w:r w:rsidRPr="00631582">
        <w:rPr>
          <w:rFonts w:ascii="Garamond" w:hAnsi="Garamond" w:cs="Times New Roman"/>
          <w:szCs w:val="24"/>
          <w:lang w:val="en-GB"/>
        </w:rPr>
        <w:t xml:space="preserve"> </w:t>
      </w:r>
      <w:r>
        <w:rPr>
          <w:rFonts w:ascii="Garamond" w:hAnsi="Garamond" w:cs="Times New Roman"/>
          <w:szCs w:val="24"/>
          <w:lang w:val="en-GB"/>
        </w:rPr>
        <w:t>According to the IPCC, t</w:t>
      </w:r>
      <w:r w:rsidRPr="00631582">
        <w:rPr>
          <w:rFonts w:ascii="Garamond" w:hAnsi="Garamond" w:cs="Times New Roman"/>
          <w:szCs w:val="24"/>
          <w:lang w:val="en-GB" w:eastAsia="ja-JP"/>
        </w:rPr>
        <w:t>o have a c. 50% chance of achieving the LTTG of 1.5°C, global</w:t>
      </w:r>
      <w:r>
        <w:rPr>
          <w:rFonts w:ascii="Garamond" w:hAnsi="Garamond" w:cs="Times New Roman"/>
          <w:szCs w:val="24"/>
          <w:lang w:val="en-GB" w:eastAsia="ja-JP"/>
        </w:rPr>
        <w:t xml:space="preserve"> GHG</w:t>
      </w:r>
      <w:r w:rsidRPr="00631582">
        <w:rPr>
          <w:rFonts w:ascii="Garamond" w:hAnsi="Garamond" w:cs="Times New Roman"/>
          <w:szCs w:val="24"/>
          <w:lang w:val="en-GB" w:eastAsia="ja-JP"/>
        </w:rPr>
        <w:t xml:space="preserve"> emissions </w:t>
      </w:r>
      <w:r>
        <w:rPr>
          <w:rFonts w:ascii="Garamond" w:hAnsi="Garamond" w:cs="Times New Roman"/>
          <w:szCs w:val="24"/>
          <w:lang w:val="en-GB" w:eastAsia="ja-JP"/>
        </w:rPr>
        <w:t xml:space="preserve">should “peak at the latest before 2025” and </w:t>
      </w:r>
      <w:r w:rsidRPr="00631582">
        <w:rPr>
          <w:rFonts w:ascii="Garamond" w:hAnsi="Garamond" w:cs="Times New Roman"/>
          <w:szCs w:val="24"/>
          <w:lang w:val="en-GB" w:eastAsia="ja-JP"/>
        </w:rPr>
        <w:t xml:space="preserve">be reduced by </w:t>
      </w:r>
      <w:r>
        <w:rPr>
          <w:rFonts w:ascii="Garamond" w:hAnsi="Garamond" w:cs="Times New Roman"/>
          <w:szCs w:val="24"/>
          <w:lang w:val="en-GB" w:eastAsia="ja-JP"/>
        </w:rPr>
        <w:t>43</w:t>
      </w:r>
      <w:r w:rsidRPr="00631582">
        <w:rPr>
          <w:rFonts w:ascii="Garamond" w:hAnsi="Garamond" w:cs="Times New Roman"/>
          <w:szCs w:val="24"/>
          <w:lang w:val="en-GB" w:eastAsia="ja-JP"/>
        </w:rPr>
        <w:t>% below 2019 levels by 2030</w:t>
      </w:r>
      <w:r>
        <w:rPr>
          <w:rFonts w:ascii="Garamond" w:hAnsi="Garamond" w:cs="Times New Roman"/>
          <w:szCs w:val="24"/>
          <w:lang w:val="en-GB" w:eastAsia="ja-JP"/>
        </w:rPr>
        <w:t>.</w:t>
      </w:r>
      <w:r>
        <w:rPr>
          <w:rStyle w:val="Appelnotedebasdep"/>
          <w:rFonts w:ascii="Garamond" w:hAnsi="Garamond" w:cs="Times New Roman"/>
          <w:szCs w:val="24"/>
          <w:lang w:val="en-GB" w:eastAsia="ja-JP"/>
        </w:rPr>
        <w:footnoteReference w:id="9"/>
      </w:r>
    </w:p>
    <w:p w14:paraId="5AFBA1E3" w14:textId="77777777" w:rsidR="008D4DEB" w:rsidRPr="00B168A6" w:rsidRDefault="008D4DEB" w:rsidP="008D4DEB">
      <w:pPr>
        <w:spacing w:after="240"/>
        <w:jc w:val="both"/>
        <w:rPr>
          <w:rFonts w:ascii="Garamond" w:hAnsi="Garamond" w:cs="Times New Roman"/>
          <w:color w:val="002060"/>
          <w:lang w:val="en-GB" w:eastAsia="ja-JP"/>
        </w:rPr>
      </w:pPr>
      <w:r w:rsidRPr="00B168A6">
        <w:rPr>
          <w:rFonts w:ascii="Garamond" w:hAnsi="Garamond"/>
          <w:b/>
          <w:color w:val="002060"/>
          <w:lang w:val="en-GB"/>
        </w:rPr>
        <w:t xml:space="preserve">THE NEED FOR IMMEDIATE MEASURES IN THE ENERGY SECTOR TO ACHIEVE THE </w:t>
      </w:r>
      <w:r w:rsidRPr="00B168A6">
        <w:rPr>
          <w:rFonts w:ascii="Garamond" w:hAnsi="Garamond" w:cs="Times New Roman"/>
          <w:b/>
          <w:color w:val="002060"/>
          <w:lang w:val="en-GB"/>
        </w:rPr>
        <w:t>LTTG OF 1.5°C</w:t>
      </w:r>
    </w:p>
    <w:p w14:paraId="027E7409" w14:textId="77777777" w:rsidR="008D4DEB" w:rsidRPr="00D43F95" w:rsidRDefault="008D4DEB">
      <w:pPr>
        <w:pStyle w:val="Paragraphedeliste"/>
        <w:numPr>
          <w:ilvl w:val="0"/>
          <w:numId w:val="7"/>
        </w:numPr>
        <w:spacing w:beforeLines="60" w:before="144" w:afterLines="60" w:after="144" w:line="240" w:lineRule="auto"/>
        <w:contextualSpacing w:val="0"/>
        <w:jc w:val="both"/>
        <w:rPr>
          <w:rFonts w:ascii="Garamond" w:hAnsi="Garamond"/>
          <w:szCs w:val="24"/>
          <w:lang w:val="en-GB"/>
        </w:rPr>
      </w:pPr>
      <w:r w:rsidRPr="00D43F95">
        <w:rPr>
          <w:rFonts w:ascii="Garamond" w:hAnsi="Garamond" w:cs="Times New Roman"/>
          <w:szCs w:val="24"/>
          <w:lang w:val="en-GB"/>
        </w:rPr>
        <w:t xml:space="preserve">Achieving the LTTG of 1.5°C requires major political intervention, especially in the energy sector, </w:t>
      </w:r>
      <w:r>
        <w:rPr>
          <w:rFonts w:ascii="Garamond" w:hAnsi="Garamond" w:cs="Times New Roman"/>
          <w:szCs w:val="24"/>
          <w:lang w:val="en-GB"/>
        </w:rPr>
        <w:t>as fossil fuel combustion accounts for over 75</w:t>
      </w:r>
      <w:r w:rsidRPr="00D43F95">
        <w:rPr>
          <w:rFonts w:ascii="Garamond" w:hAnsi="Garamond" w:cs="Times New Roman"/>
          <w:szCs w:val="24"/>
          <w:lang w:val="en-GB"/>
        </w:rPr>
        <w:t>% of global GHG emissions</w:t>
      </w:r>
      <w:r w:rsidRPr="00D43F95">
        <w:rPr>
          <w:rStyle w:val="Appelnotedebasdep"/>
          <w:rFonts w:ascii="Garamond" w:hAnsi="Garamond" w:cs="Times New Roman"/>
          <w:szCs w:val="24"/>
          <w:lang w:val="en-GB"/>
        </w:rPr>
        <w:footnoteReference w:id="10"/>
      </w:r>
      <w:r w:rsidRPr="00D43F95">
        <w:rPr>
          <w:rFonts w:ascii="Garamond" w:hAnsi="Garamond" w:cs="Times New Roman"/>
          <w:szCs w:val="24"/>
          <w:lang w:val="en-GB"/>
        </w:rPr>
        <w:t xml:space="preserve"> and the IPCC found</w:t>
      </w:r>
      <w:r>
        <w:rPr>
          <w:rFonts w:ascii="Garamond" w:hAnsi="Garamond" w:cs="Times New Roman"/>
          <w:szCs w:val="24"/>
          <w:lang w:val="en-GB"/>
        </w:rPr>
        <w:t xml:space="preserve"> </w:t>
      </w:r>
      <w:r w:rsidRPr="00D43F95">
        <w:rPr>
          <w:rFonts w:ascii="Garamond" w:hAnsi="Garamond" w:cs="Times New Roman"/>
          <w:szCs w:val="24"/>
          <w:lang w:val="en-GB"/>
        </w:rPr>
        <w:t>that “[p]</w:t>
      </w:r>
      <w:proofErr w:type="spellStart"/>
      <w:r w:rsidRPr="00D43F95">
        <w:rPr>
          <w:rFonts w:ascii="Garamond" w:hAnsi="Garamond" w:cs="Times New Roman"/>
          <w:i/>
          <w:szCs w:val="24"/>
          <w:lang w:val="en-GB"/>
        </w:rPr>
        <w:t>rojected</w:t>
      </w:r>
      <w:proofErr w:type="spellEnd"/>
      <w:r w:rsidRPr="00D43F95">
        <w:rPr>
          <w:rFonts w:ascii="Garamond" w:hAnsi="Garamond" w:cs="Times New Roman"/>
          <w:i/>
          <w:szCs w:val="24"/>
          <w:lang w:val="en-GB"/>
        </w:rPr>
        <w:t xml:space="preserve"> cumulative future CO2 emissions over the lifetime of existing and currently planned fossil fuel infrastructure </w:t>
      </w:r>
      <w:r>
        <w:rPr>
          <w:rFonts w:ascii="Garamond" w:hAnsi="Garamond" w:cs="Times New Roman"/>
          <w:i/>
          <w:szCs w:val="24"/>
          <w:lang w:val="en-GB"/>
        </w:rPr>
        <w:t>…</w:t>
      </w:r>
      <w:r w:rsidRPr="00D43F95">
        <w:rPr>
          <w:rFonts w:ascii="Garamond" w:hAnsi="Garamond" w:cs="Times New Roman"/>
          <w:i/>
          <w:szCs w:val="24"/>
          <w:lang w:val="en-GB"/>
        </w:rPr>
        <w:t xml:space="preserve"> exceed the total cumulative net CO2 emissions in pathways that limit warming to 1.5°C with no or limited overshoot</w:t>
      </w:r>
      <w:r w:rsidRPr="00D43F95">
        <w:rPr>
          <w:rFonts w:ascii="Garamond" w:hAnsi="Garamond" w:cs="Times New Roman"/>
          <w:szCs w:val="24"/>
          <w:lang w:val="en-GB"/>
        </w:rPr>
        <w:t xml:space="preserve">” </w:t>
      </w:r>
      <w:r>
        <w:rPr>
          <w:rFonts w:ascii="Garamond" w:hAnsi="Garamond" w:cs="Times New Roman"/>
          <w:szCs w:val="24"/>
          <w:lang w:val="en-GB"/>
        </w:rPr>
        <w:t xml:space="preserve">i.e. exceed the remaining </w:t>
      </w:r>
      <w:r w:rsidRPr="00DD2DF5">
        <w:rPr>
          <w:rFonts w:ascii="Garamond" w:hAnsi="Garamond" w:cs="Times New Roman"/>
          <w:szCs w:val="24"/>
          <w:lang w:val="en-GB"/>
        </w:rPr>
        <w:t>carbon budget</w:t>
      </w:r>
      <w:r>
        <w:rPr>
          <w:rFonts w:ascii="Garamond" w:hAnsi="Garamond" w:cs="Times New Roman"/>
          <w:szCs w:val="24"/>
          <w:lang w:val="en-GB"/>
        </w:rPr>
        <w:t>.</w:t>
      </w:r>
      <w:r w:rsidRPr="00DD2DF5">
        <w:rPr>
          <w:rStyle w:val="Appelnotedebasdep"/>
          <w:rFonts w:ascii="Garamond" w:hAnsi="Garamond" w:cs="Times New Roman"/>
          <w:szCs w:val="24"/>
          <w:lang w:val="en-GB"/>
        </w:rPr>
        <w:footnoteReference w:id="11"/>
      </w:r>
      <w:r w:rsidRPr="00DD2DF5">
        <w:rPr>
          <w:rFonts w:ascii="Garamond" w:hAnsi="Garamond" w:cs="Times New Roman"/>
          <w:szCs w:val="24"/>
          <w:lang w:val="en-GB"/>
        </w:rPr>
        <w:t xml:space="preserve"> Therefore, global fossil fuel production alone </w:t>
      </w:r>
      <w:r w:rsidRPr="00F41F19">
        <w:rPr>
          <w:rFonts w:ascii="Garamond" w:hAnsi="Garamond" w:cs="Times New Roman"/>
          <w:szCs w:val="24"/>
          <w:lang w:val="en-GB"/>
        </w:rPr>
        <w:t xml:space="preserve">risks </w:t>
      </w:r>
      <w:r>
        <w:rPr>
          <w:rFonts w:ascii="Garamond" w:hAnsi="Garamond" w:cs="Times New Roman"/>
          <w:szCs w:val="24"/>
          <w:lang w:val="en-GB"/>
        </w:rPr>
        <w:t>making</w:t>
      </w:r>
      <w:r w:rsidRPr="00F41F19">
        <w:rPr>
          <w:rFonts w:ascii="Garamond" w:hAnsi="Garamond" w:cs="Times New Roman"/>
          <w:szCs w:val="24"/>
          <w:lang w:val="en-GB"/>
        </w:rPr>
        <w:t xml:space="preserve"> the LTTGs of 1.5°C and 2°C out of reach</w:t>
      </w:r>
      <w:r w:rsidRPr="00DD2DF5">
        <w:rPr>
          <w:rFonts w:ascii="Garamond" w:hAnsi="Garamond" w:cs="Times New Roman"/>
          <w:szCs w:val="24"/>
          <w:lang w:val="en-GB"/>
        </w:rPr>
        <w:t>.</w:t>
      </w:r>
    </w:p>
    <w:p w14:paraId="48362654" w14:textId="77777777" w:rsidR="008D4DEB" w:rsidRPr="007D09E4" w:rsidRDefault="008D4DEB">
      <w:pPr>
        <w:pStyle w:val="Paragraphedeliste"/>
        <w:numPr>
          <w:ilvl w:val="0"/>
          <w:numId w:val="7"/>
        </w:numPr>
        <w:spacing w:beforeLines="60" w:before="144" w:afterLines="60" w:after="144" w:line="240" w:lineRule="auto"/>
        <w:contextualSpacing w:val="0"/>
        <w:jc w:val="both"/>
        <w:rPr>
          <w:rFonts w:ascii="Garamond" w:hAnsi="Garamond" w:cs="Times New Roman"/>
          <w:szCs w:val="24"/>
          <w:lang w:val="en-GB"/>
        </w:rPr>
      </w:pPr>
      <w:r w:rsidRPr="00DD780E">
        <w:rPr>
          <w:rFonts w:ascii="Garamond" w:hAnsi="Garamond"/>
          <w:szCs w:val="24"/>
          <w:lang w:val="en-GB"/>
        </w:rPr>
        <w:t>Thus, the transformation of th</w:t>
      </w:r>
      <w:r>
        <w:rPr>
          <w:rFonts w:ascii="Garamond" w:hAnsi="Garamond"/>
          <w:szCs w:val="24"/>
          <w:lang w:val="en-GB"/>
        </w:rPr>
        <w:t>e energy</w:t>
      </w:r>
      <w:r w:rsidRPr="00DD780E">
        <w:rPr>
          <w:rFonts w:ascii="Garamond" w:hAnsi="Garamond"/>
          <w:szCs w:val="24"/>
          <w:lang w:val="en-GB"/>
        </w:rPr>
        <w:t xml:space="preserve"> sector (the “energy transition”) is an absolute imperative. According to the latest IPCC report, </w:t>
      </w:r>
      <w:r w:rsidRPr="00C81143">
        <w:rPr>
          <w:rFonts w:ascii="Garamond" w:hAnsi="Garamond"/>
          <w:szCs w:val="24"/>
          <w:lang w:val="en-GB"/>
        </w:rPr>
        <w:t>“</w:t>
      </w:r>
      <w:r w:rsidRPr="00C81143">
        <w:rPr>
          <w:rFonts w:ascii="Garamond" w:hAnsi="Garamond"/>
          <w:i/>
          <w:szCs w:val="24"/>
          <w:lang w:val="en-GB"/>
        </w:rPr>
        <w:t>[m]</w:t>
      </w:r>
      <w:proofErr w:type="spellStart"/>
      <w:r w:rsidRPr="00C81143">
        <w:rPr>
          <w:rFonts w:ascii="Garamond" w:hAnsi="Garamond"/>
          <w:i/>
          <w:szCs w:val="24"/>
          <w:lang w:val="en-GB"/>
        </w:rPr>
        <w:t>eeting</w:t>
      </w:r>
      <w:proofErr w:type="spellEnd"/>
      <w:r w:rsidRPr="00C81143">
        <w:rPr>
          <w:rFonts w:ascii="Garamond" w:hAnsi="Garamond"/>
          <w:i/>
          <w:szCs w:val="24"/>
          <w:lang w:val="en-GB"/>
        </w:rPr>
        <w:t xml:space="preserve"> the ambitions of the Paris Agreement will require phasing out fossil fuels from energy systems</w:t>
      </w:r>
      <w:r w:rsidRPr="00C81143">
        <w:rPr>
          <w:rFonts w:ascii="Garamond" w:hAnsi="Garamond"/>
          <w:iCs/>
          <w:szCs w:val="24"/>
          <w:lang w:val="en-GB"/>
        </w:rPr>
        <w:t>”</w:t>
      </w:r>
      <w:r>
        <w:rPr>
          <w:rFonts w:ascii="Garamond" w:hAnsi="Garamond"/>
          <w:iCs/>
          <w:szCs w:val="24"/>
          <w:lang w:val="en-GB"/>
        </w:rPr>
        <w:t>.</w:t>
      </w:r>
      <w:r w:rsidRPr="00C81143">
        <w:rPr>
          <w:rStyle w:val="Appelnotedebasdep"/>
          <w:rFonts w:ascii="Garamond" w:hAnsi="Garamond" w:cs="Times New Roman"/>
          <w:szCs w:val="24"/>
          <w:lang w:val="en-GB"/>
        </w:rPr>
        <w:footnoteReference w:id="12"/>
      </w:r>
      <w:r w:rsidRPr="00DD780E">
        <w:rPr>
          <w:rFonts w:ascii="Garamond" w:hAnsi="Garamond" w:cs="Times New Roman"/>
          <w:szCs w:val="24"/>
          <w:lang w:val="en-GB"/>
        </w:rPr>
        <w:t xml:space="preserve"> Given the urgency of reversing climate change, t</w:t>
      </w:r>
      <w:r w:rsidRPr="00DD780E">
        <w:rPr>
          <w:rFonts w:ascii="Garamond" w:hAnsi="Garamond"/>
          <w:szCs w:val="24"/>
          <w:lang w:val="en-GB"/>
        </w:rPr>
        <w:t>his must be done in the near term to prevent “carbon lock-in”</w:t>
      </w:r>
      <w:r>
        <w:rPr>
          <w:rFonts w:ascii="Garamond" w:hAnsi="Garamond"/>
          <w:szCs w:val="24"/>
          <w:lang w:val="en-GB"/>
        </w:rPr>
        <w:t>.</w:t>
      </w:r>
      <w:r w:rsidRPr="00D43F95">
        <w:rPr>
          <w:rStyle w:val="Appelnotedebasdep"/>
          <w:rFonts w:ascii="Garamond" w:hAnsi="Garamond"/>
          <w:szCs w:val="24"/>
          <w:lang w:val="en-GB"/>
        </w:rPr>
        <w:footnoteReference w:id="13"/>
      </w:r>
      <w:r>
        <w:rPr>
          <w:rFonts w:ascii="Garamond" w:hAnsi="Garamond"/>
          <w:szCs w:val="24"/>
          <w:lang w:val="en-GB"/>
        </w:rPr>
        <w:t xml:space="preserve"> </w:t>
      </w:r>
      <w:r w:rsidRPr="00D00DEA">
        <w:rPr>
          <w:rFonts w:ascii="Garamond" w:hAnsi="Garamond"/>
          <w:szCs w:val="24"/>
          <w:lang w:val="en-GB"/>
        </w:rPr>
        <w:t>The</w:t>
      </w:r>
      <w:r>
        <w:rPr>
          <w:rFonts w:ascii="Garamond" w:hAnsi="Garamond"/>
          <w:szCs w:val="24"/>
          <w:lang w:val="en-GB"/>
        </w:rPr>
        <w:t xml:space="preserve"> </w:t>
      </w:r>
      <w:r>
        <w:rPr>
          <w:rFonts w:ascii="Garamond" w:hAnsi="Garamond" w:cs="Times New Roman"/>
          <w:szCs w:val="24"/>
          <w:lang w:val="en-GB"/>
        </w:rPr>
        <w:t>best available science</w:t>
      </w:r>
      <w:r w:rsidRPr="00DD780E">
        <w:rPr>
          <w:rFonts w:ascii="Garamond" w:hAnsi="Garamond" w:cs="Times New Roman"/>
          <w:szCs w:val="24"/>
          <w:lang w:val="en-GB"/>
        </w:rPr>
        <w:t xml:space="preserve"> </w:t>
      </w:r>
      <w:r>
        <w:rPr>
          <w:rFonts w:ascii="Garamond" w:hAnsi="Garamond" w:cs="Times New Roman"/>
          <w:szCs w:val="24"/>
          <w:lang w:val="en-GB"/>
        </w:rPr>
        <w:t>provides that “</w:t>
      </w:r>
      <w:r w:rsidRPr="00FC1188">
        <w:rPr>
          <w:rFonts w:ascii="Garamond" w:hAnsi="Garamond" w:cs="Times New Roman"/>
          <w:szCs w:val="24"/>
          <w:lang w:val="en-GB"/>
        </w:rPr>
        <w:t>dramatic and sustained reductions in fossil fuel use and extraction</w:t>
      </w:r>
      <w:r>
        <w:rPr>
          <w:rFonts w:ascii="Garamond" w:hAnsi="Garamond" w:cs="Times New Roman"/>
          <w:szCs w:val="24"/>
          <w:lang w:val="en-GB"/>
        </w:rPr>
        <w:t xml:space="preserve">” are needed, as </w:t>
      </w:r>
      <w:r w:rsidRPr="00DD780E">
        <w:rPr>
          <w:rFonts w:ascii="Garamond" w:hAnsi="Garamond" w:cs="Times New Roman"/>
          <w:szCs w:val="24"/>
          <w:lang w:val="en-GB"/>
        </w:rPr>
        <w:t>achieving the LTTG of 1.5</w:t>
      </w:r>
      <w:r w:rsidRPr="00DD780E">
        <w:rPr>
          <w:rFonts w:cs="Times New Roman"/>
          <w:szCs w:val="24"/>
          <w:lang w:val="en-GB" w:eastAsia="ja-JP"/>
        </w:rPr>
        <w:t>℃</w:t>
      </w:r>
      <w:r w:rsidRPr="00DD780E">
        <w:rPr>
          <w:rFonts w:ascii="Garamond" w:hAnsi="Garamond" w:cs="Times New Roman"/>
          <w:szCs w:val="24"/>
          <w:lang w:val="en-GB"/>
        </w:rPr>
        <w:t xml:space="preserve"> requires</w:t>
      </w:r>
      <w:r>
        <w:rPr>
          <w:rFonts w:ascii="Garamond" w:hAnsi="Garamond" w:cs="Times New Roman"/>
          <w:szCs w:val="24"/>
          <w:lang w:val="en-GB"/>
        </w:rPr>
        <w:t xml:space="preserve"> </w:t>
      </w:r>
      <w:r w:rsidRPr="00DD780E">
        <w:rPr>
          <w:rFonts w:ascii="Garamond" w:hAnsi="Garamond" w:cs="Times New Roman"/>
          <w:szCs w:val="24"/>
          <w:lang w:val="en-GB"/>
        </w:rPr>
        <w:t xml:space="preserve">that global levels of coal, oil and gas production </w:t>
      </w:r>
      <w:r>
        <w:rPr>
          <w:rFonts w:ascii="Garamond" w:hAnsi="Garamond" w:cs="Times New Roman"/>
          <w:szCs w:val="24"/>
          <w:lang w:val="en-GB"/>
        </w:rPr>
        <w:t>are</w:t>
      </w:r>
      <w:r w:rsidRPr="00DD780E">
        <w:rPr>
          <w:rFonts w:ascii="Garamond" w:hAnsi="Garamond" w:cs="Times New Roman"/>
          <w:szCs w:val="24"/>
          <w:lang w:val="en-GB"/>
        </w:rPr>
        <w:t xml:space="preserve"> reduced by 69%, 34%, and 26% from 2020 levels by 2030</w:t>
      </w:r>
      <w:r>
        <w:rPr>
          <w:rFonts w:ascii="Garamond" w:hAnsi="Garamond" w:cs="Times New Roman"/>
          <w:szCs w:val="24"/>
          <w:lang w:val="en-GB"/>
        </w:rPr>
        <w:t>.</w:t>
      </w:r>
      <w:r w:rsidRPr="00FC1188">
        <w:rPr>
          <w:rFonts w:ascii="Garamond" w:hAnsi="Garamond" w:cs="Times New Roman"/>
          <w:szCs w:val="24"/>
          <w:vertAlign w:val="superscript"/>
          <w:lang w:val="en-GB"/>
        </w:rPr>
        <w:footnoteReference w:id="14"/>
      </w:r>
      <w:r w:rsidRPr="00FC1188">
        <w:rPr>
          <w:rFonts w:ascii="Garamond" w:hAnsi="Garamond" w:cs="Times New Roman"/>
          <w:szCs w:val="24"/>
          <w:lang w:val="en-GB"/>
        </w:rPr>
        <w:t xml:space="preserve"> This necessarily implies</w:t>
      </w:r>
      <w:r>
        <w:rPr>
          <w:rFonts w:ascii="Garamond" w:hAnsi="Garamond" w:cs="Times New Roman"/>
          <w:szCs w:val="24"/>
          <w:lang w:val="en-GB"/>
        </w:rPr>
        <w:t xml:space="preserve"> action with regard to </w:t>
      </w:r>
      <w:r w:rsidRPr="00FC1188">
        <w:rPr>
          <w:rFonts w:ascii="Garamond" w:hAnsi="Garamond" w:cs="Times New Roman"/>
          <w:szCs w:val="24"/>
          <w:lang w:val="en-GB"/>
        </w:rPr>
        <w:t xml:space="preserve">existing and projected </w:t>
      </w:r>
      <w:r>
        <w:rPr>
          <w:rFonts w:ascii="Garamond" w:hAnsi="Garamond" w:cs="Times New Roman"/>
          <w:szCs w:val="24"/>
          <w:lang w:val="en-GB"/>
        </w:rPr>
        <w:t>fossil fuels infrastructures</w:t>
      </w:r>
      <w:r w:rsidRPr="00FC1188">
        <w:rPr>
          <w:rFonts w:ascii="Garamond" w:hAnsi="Garamond" w:cs="Times New Roman"/>
          <w:szCs w:val="24"/>
          <w:lang w:val="en-GB"/>
        </w:rPr>
        <w:t>: according to the IPCC, “</w:t>
      </w:r>
      <w:r w:rsidRPr="00FC1188">
        <w:rPr>
          <w:rFonts w:ascii="Garamond" w:hAnsi="Garamond" w:cs="Times New Roman"/>
          <w:i/>
          <w:szCs w:val="24"/>
          <w:lang w:val="en-GB"/>
        </w:rPr>
        <w:t>[d]</w:t>
      </w:r>
      <w:proofErr w:type="spellStart"/>
      <w:r w:rsidRPr="00FC1188">
        <w:rPr>
          <w:rFonts w:ascii="Garamond" w:hAnsi="Garamond" w:cs="Times New Roman"/>
          <w:i/>
          <w:szCs w:val="24"/>
          <w:lang w:val="en-GB"/>
        </w:rPr>
        <w:t>ecommissioning</w:t>
      </w:r>
      <w:proofErr w:type="spellEnd"/>
      <w:r w:rsidRPr="00FC1188">
        <w:rPr>
          <w:rFonts w:ascii="Garamond" w:hAnsi="Garamond" w:cs="Times New Roman"/>
          <w:i/>
          <w:szCs w:val="24"/>
          <w:lang w:val="en-GB"/>
        </w:rPr>
        <w:t xml:space="preserve"> and reduced utilisation of existing fossil fuel installations in the power sector as well as cancellation of new installations are required” </w:t>
      </w:r>
      <w:r w:rsidRPr="00FC1188">
        <w:rPr>
          <w:rFonts w:ascii="Garamond" w:hAnsi="Garamond" w:cs="Times New Roman"/>
          <w:szCs w:val="24"/>
          <w:lang w:val="en-GB"/>
        </w:rPr>
        <w:t>to limit warming to 1.5°C</w:t>
      </w:r>
      <w:r>
        <w:rPr>
          <w:rFonts w:ascii="Garamond" w:hAnsi="Garamond" w:cs="Times New Roman"/>
          <w:szCs w:val="24"/>
          <w:lang w:val="en-GB"/>
        </w:rPr>
        <w:t>.</w:t>
      </w:r>
      <w:r w:rsidRPr="00FC1188">
        <w:rPr>
          <w:rStyle w:val="Appelnotedebasdep"/>
          <w:rFonts w:ascii="Garamond" w:hAnsi="Garamond"/>
          <w:szCs w:val="24"/>
          <w:lang w:val="en-GB"/>
        </w:rPr>
        <w:footnoteReference w:id="15"/>
      </w:r>
      <w:r w:rsidRPr="00FC1188">
        <w:rPr>
          <w:rFonts w:ascii="Garamond" w:hAnsi="Garamond" w:cs="Times New Roman"/>
          <w:szCs w:val="24"/>
          <w:lang w:val="en-GB"/>
        </w:rPr>
        <w:t xml:space="preserve"> </w:t>
      </w:r>
      <w:r>
        <w:rPr>
          <w:rFonts w:ascii="Garamond" w:hAnsi="Garamond" w:cs="Times New Roman"/>
          <w:szCs w:val="24"/>
          <w:lang w:val="en-GB"/>
        </w:rPr>
        <w:t>Even the conservative</w:t>
      </w:r>
      <w:r w:rsidRPr="00DD780E">
        <w:rPr>
          <w:rFonts w:ascii="Garamond" w:hAnsi="Garamond" w:cs="Times New Roman"/>
          <w:szCs w:val="24"/>
          <w:lang w:val="en-GB"/>
        </w:rPr>
        <w:t xml:space="preserve"> </w:t>
      </w:r>
      <w:r>
        <w:rPr>
          <w:rFonts w:ascii="Garamond" w:hAnsi="Garamond" w:cs="Times New Roman"/>
          <w:szCs w:val="24"/>
          <w:lang w:val="en-GB"/>
        </w:rPr>
        <w:t>IEA Roadmap</w:t>
      </w:r>
      <w:r w:rsidRPr="00DD780E">
        <w:rPr>
          <w:rFonts w:ascii="Garamond" w:hAnsi="Garamond" w:cs="Times New Roman"/>
          <w:szCs w:val="24"/>
          <w:lang w:val="en-GB"/>
        </w:rPr>
        <w:t xml:space="preserve"> </w:t>
      </w:r>
      <w:r>
        <w:rPr>
          <w:rFonts w:ascii="Garamond" w:hAnsi="Garamond" w:cs="Times New Roman"/>
          <w:szCs w:val="24"/>
          <w:lang w:val="en-GB"/>
        </w:rPr>
        <w:t xml:space="preserve">provides </w:t>
      </w:r>
      <w:r w:rsidRPr="00DD780E">
        <w:rPr>
          <w:rFonts w:ascii="Garamond" w:hAnsi="Garamond" w:cs="Times New Roman"/>
          <w:szCs w:val="24"/>
          <w:lang w:val="en-GB"/>
        </w:rPr>
        <w:t xml:space="preserve">that no new </w:t>
      </w:r>
      <w:r w:rsidRPr="00DD780E">
        <w:rPr>
          <w:rFonts w:ascii="Garamond" w:hAnsi="Garamond" w:cs="Times New Roman"/>
          <w:szCs w:val="24"/>
          <w:lang w:val="en-GB"/>
        </w:rPr>
        <w:lastRenderedPageBreak/>
        <w:t>oil and gas fields can be opened, approved, permitted, invested in and/or planned beyond projects already committed to as of 2021</w:t>
      </w:r>
      <w:r>
        <w:rPr>
          <w:rFonts w:ascii="Garamond" w:hAnsi="Garamond" w:cs="Times New Roman"/>
          <w:szCs w:val="24"/>
          <w:lang w:val="en-GB"/>
        </w:rPr>
        <w:t>.</w:t>
      </w:r>
      <w:r w:rsidRPr="00D43F95">
        <w:rPr>
          <w:rStyle w:val="Appelnotedebasdep"/>
          <w:rFonts w:ascii="Garamond" w:hAnsi="Garamond"/>
          <w:szCs w:val="24"/>
          <w:lang w:val="en-GB"/>
        </w:rPr>
        <w:footnoteReference w:id="16"/>
      </w:r>
    </w:p>
    <w:p w14:paraId="60695309" w14:textId="77777777" w:rsidR="008D4DEB" w:rsidRPr="00B168A6" w:rsidRDefault="008D4DEB" w:rsidP="008D4DEB">
      <w:pPr>
        <w:spacing w:beforeLines="60" w:before="144" w:afterLines="60" w:after="144"/>
        <w:jc w:val="both"/>
        <w:rPr>
          <w:rFonts w:ascii="Garamond" w:hAnsi="Garamond"/>
          <w:b/>
          <w:color w:val="002060"/>
          <w:lang w:val="en-GB"/>
        </w:rPr>
      </w:pPr>
      <w:r w:rsidRPr="00B168A6">
        <w:rPr>
          <w:rFonts w:ascii="Garamond" w:hAnsi="Garamond"/>
          <w:b/>
          <w:color w:val="002060"/>
          <w:lang w:val="en-GB"/>
        </w:rPr>
        <w:t>THE IMPEDIMENT OF THE ECT ON THE ENERGY TRANSITION</w:t>
      </w:r>
    </w:p>
    <w:p w14:paraId="43A36E0A" w14:textId="77777777" w:rsidR="008D4DEB" w:rsidRPr="00D43F95" w:rsidRDefault="008D4DEB">
      <w:pPr>
        <w:pStyle w:val="Paragraphedeliste"/>
        <w:numPr>
          <w:ilvl w:val="0"/>
          <w:numId w:val="7"/>
        </w:numPr>
        <w:spacing w:beforeLines="60" w:before="144" w:afterLines="60" w:after="144" w:line="240" w:lineRule="auto"/>
        <w:contextualSpacing w:val="0"/>
        <w:jc w:val="both"/>
        <w:rPr>
          <w:rFonts w:ascii="Garamond" w:hAnsi="Garamond" w:cs="Times New Roman"/>
          <w:szCs w:val="24"/>
          <w:lang w:val="en-GB"/>
        </w:rPr>
      </w:pPr>
      <w:r w:rsidRPr="00D43F95">
        <w:rPr>
          <w:rFonts w:ascii="Garamond" w:hAnsi="Garamond"/>
          <w:szCs w:val="24"/>
          <w:lang w:val="en-GB"/>
        </w:rPr>
        <w:t>The IPCC has stressed that existing investment treaties, “</w:t>
      </w:r>
      <w:r w:rsidRPr="00D43F95">
        <w:rPr>
          <w:rFonts w:ascii="Garamond" w:hAnsi="Garamond"/>
          <w:i/>
          <w:szCs w:val="24"/>
          <w:lang w:val="en-GB"/>
        </w:rPr>
        <w:t>including the 1994 Energy Charter Treaty</w:t>
      </w:r>
      <w:r w:rsidRPr="00D43F95">
        <w:rPr>
          <w:rFonts w:ascii="Garamond" w:hAnsi="Garamond"/>
          <w:szCs w:val="24"/>
          <w:lang w:val="en-GB"/>
        </w:rPr>
        <w:t>”, can “</w:t>
      </w:r>
      <w:r w:rsidRPr="00D43F95">
        <w:rPr>
          <w:rFonts w:ascii="Garamond" w:hAnsi="Garamond"/>
          <w:i/>
          <w:szCs w:val="24"/>
          <w:lang w:val="en-GB"/>
        </w:rPr>
        <w:t>impede national mitigation efforts</w:t>
      </w:r>
      <w:r w:rsidRPr="00D43F95">
        <w:rPr>
          <w:rFonts w:ascii="Garamond" w:hAnsi="Garamond"/>
          <w:szCs w:val="24"/>
          <w:lang w:val="en-GB"/>
        </w:rPr>
        <w:t>”</w:t>
      </w:r>
      <w:r>
        <w:rPr>
          <w:rFonts w:ascii="Garamond" w:hAnsi="Garamond"/>
          <w:szCs w:val="24"/>
          <w:lang w:val="en-GB"/>
        </w:rPr>
        <w:t>.</w:t>
      </w:r>
      <w:r w:rsidRPr="00D43F95">
        <w:rPr>
          <w:rStyle w:val="Appelnotedebasdep"/>
          <w:rFonts w:ascii="Garamond" w:hAnsi="Garamond"/>
          <w:szCs w:val="24"/>
          <w:lang w:val="en-GB"/>
        </w:rPr>
        <w:footnoteReference w:id="17"/>
      </w:r>
    </w:p>
    <w:p w14:paraId="34DFDA3E" w14:textId="63768BF0" w:rsidR="00813D7F" w:rsidRPr="00813D7F" w:rsidRDefault="00813D7F" w:rsidP="00813D7F">
      <w:pPr>
        <w:pStyle w:val="Titre4"/>
        <w:spacing w:line="240" w:lineRule="auto"/>
        <w:ind w:left="709"/>
        <w:rPr>
          <w:rFonts w:ascii="Garamond" w:hAnsi="Garamond"/>
          <w:color w:val="002060"/>
          <w:lang w:val="en-US"/>
        </w:rPr>
      </w:pPr>
      <w:r w:rsidRPr="00813D7F">
        <w:rPr>
          <w:rFonts w:ascii="Garamond" w:hAnsi="Garamond"/>
          <w:color w:val="002060"/>
          <w:lang w:val="en-US"/>
        </w:rPr>
        <w:t>Investment protection and overcompensation under the ECT</w:t>
      </w:r>
    </w:p>
    <w:p w14:paraId="66AAFFC6" w14:textId="77777777" w:rsidR="008D4DEB" w:rsidRPr="002116F3" w:rsidRDefault="008D4DEB">
      <w:pPr>
        <w:pStyle w:val="Paragraphedeliste"/>
        <w:numPr>
          <w:ilvl w:val="0"/>
          <w:numId w:val="7"/>
        </w:numPr>
        <w:spacing w:beforeLines="60" w:before="144" w:afterLines="60" w:after="144" w:line="240" w:lineRule="auto"/>
        <w:contextualSpacing w:val="0"/>
        <w:jc w:val="both"/>
        <w:rPr>
          <w:rFonts w:ascii="Garamond" w:hAnsi="Garamond" w:cs="Times New Roman"/>
          <w:szCs w:val="24"/>
          <w:lang w:val="en-GB"/>
        </w:rPr>
      </w:pPr>
      <w:r w:rsidRPr="00D43F95">
        <w:rPr>
          <w:rFonts w:ascii="Garamond" w:hAnsi="Garamond"/>
          <w:szCs w:val="24"/>
          <w:lang w:val="en-GB"/>
        </w:rPr>
        <w:t>The ECT is an international treaty concluded in 1994</w:t>
      </w:r>
      <w:r>
        <w:rPr>
          <w:rFonts w:ascii="Garamond" w:hAnsi="Garamond"/>
          <w:szCs w:val="24"/>
          <w:lang w:val="en-GB"/>
        </w:rPr>
        <w:t xml:space="preserve"> and entered into </w:t>
      </w:r>
      <w:r w:rsidRPr="00D43F95">
        <w:rPr>
          <w:rFonts w:ascii="Garamond" w:hAnsi="Garamond"/>
          <w:szCs w:val="24"/>
          <w:lang w:val="en-GB"/>
        </w:rPr>
        <w:t>force since 1998</w:t>
      </w:r>
      <w:r>
        <w:rPr>
          <w:rFonts w:ascii="Garamond" w:hAnsi="Garamond"/>
          <w:szCs w:val="24"/>
          <w:lang w:val="en-GB"/>
        </w:rPr>
        <w:t>,</w:t>
      </w:r>
      <w:r w:rsidRPr="00D43F95">
        <w:rPr>
          <w:rFonts w:ascii="Garamond" w:hAnsi="Garamond"/>
          <w:szCs w:val="24"/>
          <w:lang w:val="en-GB"/>
        </w:rPr>
        <w:t xml:space="preserve"> which protects foreign investments made in energy </w:t>
      </w:r>
      <w:r>
        <w:rPr>
          <w:rFonts w:ascii="Garamond" w:hAnsi="Garamond"/>
          <w:szCs w:val="24"/>
          <w:lang w:val="en-GB"/>
        </w:rPr>
        <w:t>supply</w:t>
      </w:r>
      <w:r w:rsidRPr="00D43F95">
        <w:rPr>
          <w:rFonts w:ascii="Garamond" w:hAnsi="Garamond"/>
          <w:szCs w:val="24"/>
          <w:lang w:val="en-GB"/>
        </w:rPr>
        <w:t xml:space="preserve">. </w:t>
      </w:r>
      <w:r w:rsidRPr="00D43F95">
        <w:rPr>
          <w:rFonts w:ascii="Garamond" w:hAnsi="Garamond" w:cs="Times New Roman"/>
          <w:szCs w:val="24"/>
          <w:lang w:val="en-GB"/>
        </w:rPr>
        <w:t xml:space="preserve">The ECT affords investors </w:t>
      </w:r>
      <w:r>
        <w:rPr>
          <w:rFonts w:ascii="Garamond" w:hAnsi="Garamond" w:cs="Times New Roman"/>
          <w:szCs w:val="24"/>
          <w:lang w:val="en-GB"/>
        </w:rPr>
        <w:t>from Contracting Parties (</w:t>
      </w:r>
      <w:proofErr w:type="spellStart"/>
      <w:r>
        <w:rPr>
          <w:rFonts w:ascii="Garamond" w:hAnsi="Garamond" w:cs="Times New Roman"/>
          <w:szCs w:val="24"/>
          <w:lang w:val="en-GB"/>
        </w:rPr>
        <w:t>i</w:t>
      </w:r>
      <w:proofErr w:type="spellEnd"/>
      <w:r>
        <w:rPr>
          <w:rFonts w:ascii="Garamond" w:hAnsi="Garamond" w:cs="Times New Roman"/>
          <w:szCs w:val="24"/>
          <w:lang w:val="en-GB"/>
        </w:rPr>
        <w:t xml:space="preserve">) </w:t>
      </w:r>
      <w:r w:rsidRPr="002116F3">
        <w:rPr>
          <w:rFonts w:ascii="Garamond" w:hAnsi="Garamond" w:cs="Times New Roman"/>
          <w:szCs w:val="24"/>
          <w:u w:val="single"/>
          <w:lang w:val="en-GB"/>
        </w:rPr>
        <w:t>s</w:t>
      </w:r>
      <w:r w:rsidRPr="002116F3">
        <w:rPr>
          <w:rFonts w:ascii="Garamond" w:hAnsi="Garamond" w:cs="Times New Roman"/>
          <w:bCs/>
          <w:szCs w:val="24"/>
          <w:u w:val="single"/>
          <w:lang w:val="en-GB"/>
        </w:rPr>
        <w:t>ubstantial guarantees</w:t>
      </w:r>
      <w:r w:rsidRPr="002116F3">
        <w:rPr>
          <w:rFonts w:ascii="Garamond" w:hAnsi="Garamond" w:cs="Times New Roman"/>
          <w:szCs w:val="24"/>
          <w:lang w:val="en-GB"/>
        </w:rPr>
        <w:t xml:space="preserve"> (“standards”) granting foreign investors specific rights vis-à-vis States, such as the right to a “fair and equitable treatment” and the prohibition of direct and indirect expropriation without adequate compensation; and</w:t>
      </w:r>
      <w:r>
        <w:rPr>
          <w:rFonts w:ascii="Garamond" w:hAnsi="Garamond" w:cs="Times New Roman"/>
          <w:szCs w:val="24"/>
          <w:lang w:val="en-GB"/>
        </w:rPr>
        <w:t xml:space="preserve"> (ii)</w:t>
      </w:r>
      <w:r w:rsidRPr="002116F3">
        <w:rPr>
          <w:rFonts w:ascii="Garamond" w:hAnsi="Garamond" w:cs="Times New Roman"/>
          <w:szCs w:val="24"/>
          <w:lang w:val="en-GB"/>
        </w:rPr>
        <w:t xml:space="preserve"> </w:t>
      </w:r>
      <w:r>
        <w:rPr>
          <w:rFonts w:ascii="Garamond" w:hAnsi="Garamond" w:cs="Times New Roman"/>
          <w:bCs/>
          <w:szCs w:val="24"/>
          <w:u w:val="single"/>
          <w:lang w:val="en-GB"/>
        </w:rPr>
        <w:t>p</w:t>
      </w:r>
      <w:r w:rsidRPr="002116F3">
        <w:rPr>
          <w:rFonts w:ascii="Garamond" w:hAnsi="Garamond" w:cs="Times New Roman"/>
          <w:bCs/>
          <w:szCs w:val="24"/>
          <w:u w:val="single"/>
          <w:lang w:val="en-GB"/>
        </w:rPr>
        <w:t>rocedural guarantees</w:t>
      </w:r>
      <w:r w:rsidRPr="002116F3">
        <w:rPr>
          <w:rFonts w:ascii="Garamond" w:hAnsi="Garamond" w:cs="Times New Roman"/>
          <w:szCs w:val="24"/>
          <w:lang w:val="en-GB"/>
        </w:rPr>
        <w:t xml:space="preserve"> entitling investors to claim damages against States before arbitral tribunals, in case of breach of their “standards” of protection</w:t>
      </w:r>
      <w:r>
        <w:rPr>
          <w:rFonts w:ascii="Garamond" w:hAnsi="Garamond" w:cs="Times New Roman"/>
          <w:szCs w:val="24"/>
          <w:lang w:val="en-GB"/>
        </w:rPr>
        <w:t xml:space="preserve"> (“</w:t>
      </w:r>
      <w:r w:rsidRPr="002116F3">
        <w:rPr>
          <w:rFonts w:ascii="Garamond" w:hAnsi="Garamond" w:cs="Times New Roman"/>
          <w:szCs w:val="24"/>
          <w:lang w:val="en-GB"/>
        </w:rPr>
        <w:t>ISDS</w:t>
      </w:r>
      <w:r>
        <w:rPr>
          <w:rFonts w:ascii="Garamond" w:hAnsi="Garamond" w:cs="Times New Roman"/>
          <w:szCs w:val="24"/>
          <w:lang w:val="en-GB"/>
        </w:rPr>
        <w:t>”</w:t>
      </w:r>
      <w:r w:rsidRPr="002116F3">
        <w:rPr>
          <w:rFonts w:ascii="Garamond" w:hAnsi="Garamond" w:cs="Times New Roman"/>
          <w:szCs w:val="24"/>
          <w:lang w:val="en-GB"/>
        </w:rPr>
        <w:t xml:space="preserve"> mechanism</w:t>
      </w:r>
      <w:r>
        <w:rPr>
          <w:rFonts w:ascii="Garamond" w:hAnsi="Garamond" w:cs="Times New Roman"/>
          <w:szCs w:val="24"/>
          <w:lang w:val="en-GB"/>
        </w:rPr>
        <w:t>)</w:t>
      </w:r>
      <w:r w:rsidRPr="002116F3">
        <w:rPr>
          <w:rFonts w:ascii="Garamond" w:hAnsi="Garamond" w:cs="Times New Roman"/>
          <w:szCs w:val="24"/>
          <w:lang w:val="en-GB"/>
        </w:rPr>
        <w:t>.</w:t>
      </w:r>
    </w:p>
    <w:p w14:paraId="49233428" w14:textId="77777777" w:rsidR="008D4DEB" w:rsidRPr="00832403" w:rsidRDefault="008D4DEB">
      <w:pPr>
        <w:pStyle w:val="Paragraphedeliste"/>
        <w:numPr>
          <w:ilvl w:val="0"/>
          <w:numId w:val="7"/>
        </w:numPr>
        <w:spacing w:beforeLines="60" w:before="144" w:afterLines="60" w:after="144" w:line="240" w:lineRule="auto"/>
        <w:contextualSpacing w:val="0"/>
        <w:jc w:val="both"/>
        <w:rPr>
          <w:rFonts w:ascii="Garamond" w:hAnsi="Garamond" w:cs="Times New Roman"/>
          <w:szCs w:val="24"/>
          <w:lang w:val="en-GB"/>
        </w:rPr>
      </w:pPr>
      <w:bookmarkStart w:id="7" w:name="_Hlk106263608"/>
      <w:r>
        <w:rPr>
          <w:rFonts w:ascii="Garamond" w:hAnsi="Garamond" w:cs="Times New Roman"/>
          <w:szCs w:val="24"/>
          <w:lang w:val="en-GB"/>
        </w:rPr>
        <w:t>These</w:t>
      </w:r>
      <w:r w:rsidRPr="00D43F95">
        <w:rPr>
          <w:rFonts w:ascii="Garamond" w:hAnsi="Garamond" w:cs="Times New Roman"/>
          <w:szCs w:val="24"/>
          <w:lang w:val="en-GB"/>
        </w:rPr>
        <w:t xml:space="preserve"> standards</w:t>
      </w:r>
      <w:r>
        <w:rPr>
          <w:rFonts w:ascii="Garamond" w:hAnsi="Garamond" w:cs="Times New Roman"/>
          <w:szCs w:val="24"/>
          <w:lang w:val="en-GB"/>
        </w:rPr>
        <w:t xml:space="preserve"> </w:t>
      </w:r>
      <w:r w:rsidRPr="00D43F95">
        <w:rPr>
          <w:rFonts w:ascii="Garamond" w:hAnsi="Garamond" w:cs="Times New Roman"/>
          <w:szCs w:val="24"/>
          <w:lang w:val="en-GB"/>
        </w:rPr>
        <w:t xml:space="preserve">have been given extensive interpretation by </w:t>
      </w:r>
      <w:r>
        <w:rPr>
          <w:rFonts w:ascii="Garamond" w:hAnsi="Garamond" w:cs="Times New Roman"/>
          <w:szCs w:val="24"/>
          <w:lang w:val="en-GB"/>
        </w:rPr>
        <w:t xml:space="preserve">arbitral </w:t>
      </w:r>
      <w:r w:rsidRPr="00D43F95">
        <w:rPr>
          <w:rFonts w:ascii="Garamond" w:hAnsi="Garamond" w:cs="Times New Roman"/>
          <w:szCs w:val="24"/>
          <w:lang w:val="en-GB"/>
        </w:rPr>
        <w:t>tribunals</w:t>
      </w:r>
      <w:r w:rsidRPr="00D43F95">
        <w:rPr>
          <w:rStyle w:val="Appelnotedebasdep"/>
          <w:rFonts w:ascii="Garamond" w:hAnsi="Garamond" w:cs="Times New Roman"/>
          <w:szCs w:val="24"/>
          <w:lang w:val="en-GB"/>
        </w:rPr>
        <w:footnoteReference w:id="18"/>
      </w:r>
      <w:r w:rsidRPr="00D43F95">
        <w:rPr>
          <w:rFonts w:ascii="Garamond" w:hAnsi="Garamond" w:cs="Times New Roman"/>
          <w:szCs w:val="24"/>
          <w:lang w:val="en-GB"/>
        </w:rPr>
        <w:t xml:space="preserve"> </w:t>
      </w:r>
      <w:r>
        <w:rPr>
          <w:rFonts w:ascii="Garamond" w:hAnsi="Garamond" w:cs="Times New Roman"/>
          <w:szCs w:val="24"/>
          <w:lang w:val="en-GB"/>
        </w:rPr>
        <w:t xml:space="preserve">thus </w:t>
      </w:r>
      <w:r w:rsidRPr="00D43F95">
        <w:rPr>
          <w:rFonts w:ascii="Garamond" w:hAnsi="Garamond" w:cs="Times New Roman"/>
          <w:szCs w:val="24"/>
          <w:lang w:val="en-GB"/>
        </w:rPr>
        <w:t>afford</w:t>
      </w:r>
      <w:r>
        <w:rPr>
          <w:rFonts w:ascii="Garamond" w:hAnsi="Garamond" w:cs="Times New Roman"/>
          <w:szCs w:val="24"/>
          <w:lang w:val="en-GB"/>
        </w:rPr>
        <w:t>ing</w:t>
      </w:r>
      <w:r w:rsidRPr="00D43F95">
        <w:rPr>
          <w:rFonts w:ascii="Garamond" w:hAnsi="Garamond" w:cs="Times New Roman"/>
          <w:szCs w:val="24"/>
          <w:lang w:val="en-GB"/>
        </w:rPr>
        <w:t xml:space="preserve"> investors operating in the energy field comparatively greater protection against regulatory changes through </w:t>
      </w:r>
      <w:r w:rsidRPr="00D43F95">
        <w:rPr>
          <w:rFonts w:ascii="Garamond" w:hAnsi="Garamond" w:cs="Times New Roman"/>
          <w:iCs/>
          <w:szCs w:val="24"/>
          <w:lang w:val="en-GB"/>
        </w:rPr>
        <w:t>stronger assurances of stability</w:t>
      </w:r>
      <w:r>
        <w:rPr>
          <w:rFonts w:ascii="Garamond" w:hAnsi="Garamond" w:cs="Times New Roman"/>
          <w:iCs/>
          <w:szCs w:val="24"/>
          <w:lang w:val="en-GB"/>
        </w:rPr>
        <w:t xml:space="preserve"> and much higher </w:t>
      </w:r>
      <w:r w:rsidRPr="00832403">
        <w:rPr>
          <w:rFonts w:ascii="Garamond" w:hAnsi="Garamond" w:cs="Times New Roman"/>
          <w:szCs w:val="24"/>
          <w:lang w:val="en-GB"/>
        </w:rPr>
        <w:t>compensation</w:t>
      </w:r>
      <w:bookmarkEnd w:id="7"/>
      <w:r>
        <w:rPr>
          <w:rFonts w:ascii="Garamond" w:hAnsi="Garamond" w:cs="Times New Roman"/>
          <w:szCs w:val="24"/>
          <w:lang w:val="en-GB"/>
        </w:rPr>
        <w:t xml:space="preserve"> </w:t>
      </w:r>
      <w:r w:rsidRPr="00832403">
        <w:rPr>
          <w:rFonts w:ascii="Garamond" w:hAnsi="Garamond" w:cs="Times New Roman"/>
          <w:szCs w:val="24"/>
          <w:lang w:val="en-GB"/>
        </w:rPr>
        <w:t>than before domestic and international court</w:t>
      </w:r>
      <w:r>
        <w:rPr>
          <w:rFonts w:ascii="Garamond" w:hAnsi="Garamond" w:cs="Times New Roman"/>
          <w:szCs w:val="24"/>
          <w:lang w:val="en-GB"/>
        </w:rPr>
        <w:t>s.</w:t>
      </w:r>
      <w:r w:rsidRPr="00D43F95">
        <w:rPr>
          <w:rStyle w:val="Appelnotedebasdep"/>
          <w:rFonts w:ascii="Garamond" w:hAnsi="Garamond" w:cs="Times New Roman"/>
          <w:szCs w:val="24"/>
          <w:lang w:val="en-GB"/>
        </w:rPr>
        <w:footnoteReference w:id="19"/>
      </w:r>
      <w:r w:rsidRPr="00832403">
        <w:rPr>
          <w:rFonts w:ascii="Garamond" w:hAnsi="Garamond" w:cs="Times New Roman"/>
          <w:szCs w:val="24"/>
          <w:lang w:val="en-GB"/>
        </w:rPr>
        <w:t xml:space="preserve"> In the absence of rules on the determination of compensation, investment tribunals </w:t>
      </w:r>
      <w:r>
        <w:rPr>
          <w:rFonts w:ascii="Garamond" w:hAnsi="Garamond" w:cs="Times New Roman"/>
          <w:szCs w:val="24"/>
          <w:lang w:val="en-GB"/>
        </w:rPr>
        <w:t xml:space="preserve">have </w:t>
      </w:r>
      <w:r w:rsidRPr="00832403">
        <w:rPr>
          <w:rFonts w:ascii="Garamond" w:hAnsi="Garamond" w:cs="Times New Roman"/>
          <w:szCs w:val="24"/>
          <w:lang w:val="en-GB"/>
        </w:rPr>
        <w:t>adopt</w:t>
      </w:r>
      <w:r>
        <w:rPr>
          <w:rFonts w:ascii="Garamond" w:hAnsi="Garamond" w:cs="Times New Roman"/>
          <w:szCs w:val="24"/>
          <w:lang w:val="en-GB"/>
        </w:rPr>
        <w:t>ed</w:t>
      </w:r>
      <w:r w:rsidRPr="00832403">
        <w:rPr>
          <w:rFonts w:ascii="Garamond" w:hAnsi="Garamond" w:cs="Times New Roman"/>
          <w:szCs w:val="24"/>
          <w:lang w:val="en-GB"/>
        </w:rPr>
        <w:t xml:space="preserve"> an approach to damage valuation </w:t>
      </w:r>
      <w:r>
        <w:rPr>
          <w:rFonts w:ascii="Garamond" w:hAnsi="Garamond" w:cs="Times New Roman"/>
          <w:szCs w:val="24"/>
          <w:lang w:val="en-GB"/>
        </w:rPr>
        <w:t>based on</w:t>
      </w:r>
      <w:r w:rsidRPr="00832403">
        <w:rPr>
          <w:rFonts w:ascii="Garamond" w:hAnsi="Garamond" w:cs="Times New Roman"/>
          <w:szCs w:val="24"/>
          <w:lang w:val="en-GB"/>
        </w:rPr>
        <w:t xml:space="preserve"> hypothetical lost profits </w:t>
      </w:r>
      <w:r w:rsidRPr="00832403">
        <w:rPr>
          <w:rFonts w:ascii="Garamond" w:hAnsi="Garamond"/>
          <w:szCs w:val="24"/>
          <w:lang w:val="en-GB"/>
        </w:rPr>
        <w:t>across the investment’s entire life cycle</w:t>
      </w:r>
      <w:r>
        <w:rPr>
          <w:rFonts w:ascii="Garamond" w:hAnsi="Garamond"/>
          <w:szCs w:val="24"/>
          <w:lang w:val="en-GB"/>
        </w:rPr>
        <w:t>.</w:t>
      </w:r>
      <w:r w:rsidRPr="00D43F95">
        <w:rPr>
          <w:rStyle w:val="Appelnotedebasdep"/>
          <w:rFonts w:ascii="Garamond" w:hAnsi="Garamond" w:cs="Times New Roman"/>
          <w:szCs w:val="24"/>
          <w:lang w:val="en-GB"/>
        </w:rPr>
        <w:footnoteReference w:id="20"/>
      </w:r>
      <w:r w:rsidRPr="00832403">
        <w:rPr>
          <w:rFonts w:ascii="Garamond" w:hAnsi="Garamond" w:cs="Times New Roman"/>
          <w:szCs w:val="24"/>
          <w:lang w:val="en-GB"/>
        </w:rPr>
        <w:t xml:space="preserve"> This </w:t>
      </w:r>
      <w:r>
        <w:rPr>
          <w:rFonts w:ascii="Garamond" w:hAnsi="Garamond" w:cs="Times New Roman"/>
          <w:szCs w:val="24"/>
          <w:lang w:val="en-GB"/>
        </w:rPr>
        <w:t xml:space="preserve">has </w:t>
      </w:r>
      <w:r w:rsidRPr="00832403">
        <w:rPr>
          <w:rFonts w:ascii="Garamond" w:hAnsi="Garamond" w:cs="Times New Roman"/>
          <w:szCs w:val="24"/>
          <w:lang w:val="en-GB"/>
        </w:rPr>
        <w:t>led to the proliferation of speculative claims and huge damage</w:t>
      </w:r>
      <w:r>
        <w:rPr>
          <w:rFonts w:ascii="Garamond" w:hAnsi="Garamond" w:cs="Times New Roman"/>
          <w:szCs w:val="24"/>
          <w:lang w:val="en-GB"/>
        </w:rPr>
        <w:t>s.</w:t>
      </w:r>
      <w:r w:rsidRPr="00D43F95">
        <w:rPr>
          <w:rStyle w:val="Appelnotedebasdep"/>
          <w:rFonts w:ascii="Garamond" w:hAnsi="Garamond" w:cs="Times New Roman"/>
          <w:szCs w:val="24"/>
          <w:lang w:val="en-GB"/>
        </w:rPr>
        <w:footnoteReference w:id="21"/>
      </w:r>
    </w:p>
    <w:p w14:paraId="6694CB94" w14:textId="64A24799" w:rsidR="008D4DEB" w:rsidRPr="008D4DEB" w:rsidRDefault="008D4DEB" w:rsidP="008D4DEB">
      <w:pPr>
        <w:pStyle w:val="Titre4"/>
        <w:spacing w:line="240" w:lineRule="auto"/>
        <w:ind w:left="709"/>
        <w:rPr>
          <w:rFonts w:ascii="Garamond" w:hAnsi="Garamond"/>
          <w:color w:val="002060"/>
          <w:lang w:val="en-US"/>
        </w:rPr>
      </w:pPr>
      <w:r w:rsidRPr="008D4DEB">
        <w:rPr>
          <w:rFonts w:ascii="Garamond" w:hAnsi="Garamond"/>
          <w:color w:val="002060"/>
          <w:lang w:val="en-US"/>
        </w:rPr>
        <w:t>The apparent conflict between the urgent measures required to achieve the LTTG of 1.5°C and the respondent states’ commitments under the ECT</w:t>
      </w:r>
    </w:p>
    <w:p w14:paraId="7552DFED" w14:textId="77777777" w:rsidR="008D4DEB" w:rsidRPr="00D43F95" w:rsidRDefault="008D4DEB">
      <w:pPr>
        <w:pStyle w:val="Paragraphedeliste"/>
        <w:numPr>
          <w:ilvl w:val="0"/>
          <w:numId w:val="7"/>
        </w:numPr>
        <w:spacing w:beforeLines="60" w:before="144" w:afterLines="60" w:after="144" w:line="240" w:lineRule="auto"/>
        <w:contextualSpacing w:val="0"/>
        <w:jc w:val="both"/>
        <w:rPr>
          <w:rFonts w:ascii="Garamond" w:hAnsi="Garamond" w:cs="Times New Roman"/>
          <w:szCs w:val="24"/>
          <w:lang w:val="en-GB"/>
        </w:rPr>
      </w:pPr>
      <w:r>
        <w:rPr>
          <w:rFonts w:ascii="Garamond" w:hAnsi="Garamond" w:cs="Times New Roman"/>
          <w:szCs w:val="24"/>
          <w:lang w:val="en-GB"/>
        </w:rPr>
        <w:t xml:space="preserve">The </w:t>
      </w:r>
      <w:r w:rsidRPr="00D43F95">
        <w:rPr>
          <w:rFonts w:ascii="Garamond" w:hAnsi="Garamond" w:cs="Times New Roman"/>
          <w:szCs w:val="24"/>
          <w:lang w:val="en-GB"/>
        </w:rPr>
        <w:t xml:space="preserve">“unprecedented” regulatory changes </w:t>
      </w:r>
      <w:r>
        <w:rPr>
          <w:rFonts w:ascii="Garamond" w:hAnsi="Garamond" w:cs="Times New Roman"/>
          <w:szCs w:val="24"/>
          <w:lang w:val="en-GB"/>
        </w:rPr>
        <w:t xml:space="preserve">required </w:t>
      </w:r>
      <w:r w:rsidRPr="00D43F95">
        <w:rPr>
          <w:rFonts w:ascii="Garamond" w:hAnsi="Garamond" w:cs="Times New Roman"/>
          <w:szCs w:val="24"/>
          <w:lang w:val="en-GB"/>
        </w:rPr>
        <w:t>in the energy sector</w:t>
      </w:r>
      <w:r>
        <w:rPr>
          <w:rFonts w:ascii="Garamond" w:hAnsi="Garamond" w:cs="Times New Roman"/>
          <w:szCs w:val="24"/>
          <w:lang w:val="en-GB"/>
        </w:rPr>
        <w:t xml:space="preserve"> to achieve the LTTG of 1.5°C,</w:t>
      </w:r>
      <w:r w:rsidRPr="00D43F95">
        <w:rPr>
          <w:rFonts w:ascii="Garamond" w:hAnsi="Garamond" w:cs="Times New Roman"/>
          <w:szCs w:val="24"/>
          <w:lang w:val="en-GB"/>
        </w:rPr>
        <w:t xml:space="preserve"> </w:t>
      </w:r>
      <w:r>
        <w:rPr>
          <w:rFonts w:ascii="Garamond" w:hAnsi="Garamond" w:cs="Times New Roman"/>
          <w:szCs w:val="24"/>
          <w:lang w:val="en-GB"/>
        </w:rPr>
        <w:t xml:space="preserve">such as </w:t>
      </w:r>
      <w:r w:rsidRPr="00D43F95">
        <w:rPr>
          <w:rFonts w:ascii="Garamond" w:hAnsi="Garamond" w:cs="Times New Roman"/>
          <w:szCs w:val="24"/>
          <w:lang w:val="en-GB"/>
        </w:rPr>
        <w:t>the phasing out of fossil fuels</w:t>
      </w:r>
      <w:r>
        <w:rPr>
          <w:rFonts w:ascii="Garamond" w:hAnsi="Garamond" w:cs="Times New Roman"/>
          <w:szCs w:val="24"/>
          <w:lang w:val="en-GB"/>
        </w:rPr>
        <w:t xml:space="preserve">, </w:t>
      </w:r>
      <w:r w:rsidRPr="00D43F95">
        <w:rPr>
          <w:rFonts w:ascii="Garamond" w:hAnsi="Garamond" w:cs="Times New Roman"/>
          <w:szCs w:val="24"/>
          <w:lang w:val="en-GB"/>
        </w:rPr>
        <w:t>would inevitably curtail investments profits</w:t>
      </w:r>
      <w:r>
        <w:rPr>
          <w:rFonts w:ascii="Garamond" w:hAnsi="Garamond" w:cs="Times New Roman"/>
          <w:szCs w:val="24"/>
          <w:lang w:val="en-GB"/>
        </w:rPr>
        <w:t xml:space="preserve"> and expose States to </w:t>
      </w:r>
      <w:r w:rsidRPr="00D43F95">
        <w:rPr>
          <w:rFonts w:ascii="Garamond" w:hAnsi="Garamond" w:cs="Times New Roman"/>
          <w:szCs w:val="24"/>
          <w:lang w:val="en-GB"/>
        </w:rPr>
        <w:t>threat of liability vis-à-vis</w:t>
      </w:r>
      <w:r>
        <w:rPr>
          <w:rFonts w:ascii="Garamond" w:hAnsi="Garamond" w:cs="Times New Roman"/>
          <w:szCs w:val="24"/>
          <w:lang w:val="en-GB"/>
        </w:rPr>
        <w:t xml:space="preserve"> ECT-protected</w:t>
      </w:r>
      <w:r w:rsidRPr="00D43F95">
        <w:rPr>
          <w:rFonts w:ascii="Garamond" w:hAnsi="Garamond" w:cs="Times New Roman"/>
          <w:szCs w:val="24"/>
          <w:lang w:val="en-GB"/>
        </w:rPr>
        <w:t xml:space="preserve"> fossil fuel investors</w:t>
      </w:r>
      <w:bookmarkStart w:id="11" w:name="_Ref96079549"/>
      <w:r>
        <w:rPr>
          <w:rFonts w:ascii="Garamond" w:hAnsi="Garamond" w:cs="Times New Roman"/>
          <w:szCs w:val="24"/>
          <w:lang w:val="en-GB"/>
        </w:rPr>
        <w:t>.</w:t>
      </w:r>
      <w:r w:rsidRPr="00D43F95">
        <w:rPr>
          <w:rStyle w:val="Appelnotedebasdep"/>
          <w:rFonts w:ascii="Garamond" w:hAnsi="Garamond" w:cs="Times New Roman"/>
          <w:szCs w:val="24"/>
          <w:lang w:val="en-GB"/>
        </w:rPr>
        <w:footnoteReference w:id="22"/>
      </w:r>
      <w:bookmarkEnd w:id="11"/>
      <w:r>
        <w:rPr>
          <w:rFonts w:ascii="Garamond" w:hAnsi="Garamond" w:cs="Times New Roman"/>
          <w:szCs w:val="24"/>
          <w:lang w:val="en-GB"/>
        </w:rPr>
        <w:t xml:space="preserve"> France, Spain, Germany, and the Netherlands, as well as the EU, have expressed doubts regarding the compatibility of the ECT with the Paris Agreement.</w:t>
      </w:r>
      <w:r w:rsidRPr="00D43F95">
        <w:rPr>
          <w:rStyle w:val="Appelnotedebasdep"/>
          <w:rFonts w:ascii="Garamond" w:hAnsi="Garamond" w:cs="Times New Roman"/>
          <w:szCs w:val="24"/>
          <w:lang w:val="en-GB"/>
        </w:rPr>
        <w:footnoteReference w:id="23"/>
      </w:r>
      <w:r>
        <w:rPr>
          <w:rFonts w:ascii="Garamond" w:hAnsi="Garamond" w:cs="Times New Roman"/>
          <w:szCs w:val="24"/>
          <w:lang w:val="en-GB"/>
        </w:rPr>
        <w:t xml:space="preserve"> Meanwhile, a</w:t>
      </w:r>
      <w:r w:rsidRPr="00D43F95">
        <w:rPr>
          <w:rFonts w:ascii="Garamond" w:hAnsi="Garamond" w:cs="Times New Roman"/>
          <w:szCs w:val="24"/>
          <w:lang w:val="en-GB"/>
        </w:rPr>
        <w:t>rbitration law firms have pointed to the ECT as a protection</w:t>
      </w:r>
      <w:r>
        <w:rPr>
          <w:rFonts w:ascii="Garamond" w:hAnsi="Garamond" w:cs="Times New Roman"/>
          <w:szCs w:val="24"/>
          <w:lang w:val="en-GB"/>
        </w:rPr>
        <w:t xml:space="preserve"> mechanism</w:t>
      </w:r>
      <w:r w:rsidRPr="00D43F95">
        <w:rPr>
          <w:rFonts w:ascii="Garamond" w:hAnsi="Garamond" w:cs="Times New Roman"/>
          <w:szCs w:val="24"/>
          <w:lang w:val="en-GB"/>
        </w:rPr>
        <w:t xml:space="preserve"> for energy investors against climate ‘regulatory risks’</w:t>
      </w:r>
      <w:r>
        <w:rPr>
          <w:rFonts w:ascii="Garamond" w:hAnsi="Garamond" w:cs="Times New Roman"/>
          <w:szCs w:val="24"/>
          <w:lang w:val="en-GB"/>
        </w:rPr>
        <w:t>.</w:t>
      </w:r>
      <w:r w:rsidRPr="00D43F95">
        <w:rPr>
          <w:rStyle w:val="Appelnotedebasdep"/>
          <w:rFonts w:ascii="Garamond" w:hAnsi="Garamond" w:cs="Times New Roman"/>
          <w:szCs w:val="24"/>
          <w:lang w:val="en-GB"/>
        </w:rPr>
        <w:footnoteReference w:id="24"/>
      </w:r>
    </w:p>
    <w:p w14:paraId="07658E46" w14:textId="77777777" w:rsidR="008D4DEB" w:rsidRPr="00D43F95" w:rsidDel="00AC4467" w:rsidRDefault="008D4DEB">
      <w:pPr>
        <w:pStyle w:val="Paragraphedeliste"/>
        <w:numPr>
          <w:ilvl w:val="0"/>
          <w:numId w:val="7"/>
        </w:numPr>
        <w:spacing w:beforeLines="60" w:before="144" w:afterLines="60" w:after="144" w:line="240" w:lineRule="auto"/>
        <w:contextualSpacing w:val="0"/>
        <w:jc w:val="both"/>
        <w:rPr>
          <w:rFonts w:ascii="Garamond" w:hAnsi="Garamond" w:cs="Times New Roman"/>
          <w:szCs w:val="24"/>
          <w:lang w:val="en-GB"/>
        </w:rPr>
      </w:pPr>
      <w:r w:rsidRPr="00D43F95">
        <w:rPr>
          <w:rFonts w:ascii="Garamond" w:hAnsi="Garamond" w:cs="Times New Roman"/>
          <w:szCs w:val="24"/>
          <w:lang w:val="en-GB"/>
        </w:rPr>
        <w:lastRenderedPageBreak/>
        <w:t>Recent empirical work has also stressed the high legal uncertainty over the way arbitrators assess conflicts between investor protection and States’ climate obligations</w:t>
      </w:r>
      <w:r>
        <w:rPr>
          <w:rFonts w:ascii="Garamond" w:hAnsi="Garamond" w:cs="Times New Roman"/>
          <w:szCs w:val="24"/>
          <w:lang w:val="en-GB"/>
        </w:rPr>
        <w:t>:</w:t>
      </w:r>
      <w:r w:rsidRPr="00D43F95">
        <w:rPr>
          <w:rStyle w:val="Appelnotedebasdep"/>
          <w:rFonts w:ascii="Garamond" w:hAnsi="Garamond" w:cs="Times New Roman"/>
          <w:szCs w:val="24"/>
          <w:lang w:val="en-GB"/>
        </w:rPr>
        <w:footnoteReference w:id="25"/>
      </w:r>
      <w:r>
        <w:rPr>
          <w:rFonts w:ascii="Garamond" w:hAnsi="Garamond" w:cs="Times New Roman"/>
          <w:szCs w:val="24"/>
          <w:lang w:val="en-GB"/>
        </w:rPr>
        <w:t xml:space="preserve"> so far, they</w:t>
      </w:r>
      <w:r w:rsidRPr="00D43F95">
        <w:rPr>
          <w:rFonts w:ascii="Garamond" w:hAnsi="Garamond" w:cs="Times New Roman"/>
          <w:szCs w:val="24"/>
          <w:lang w:val="en-GB"/>
        </w:rPr>
        <w:t xml:space="preserve"> have shown</w:t>
      </w:r>
      <w:r w:rsidRPr="00D43F95" w:rsidDel="00AC4467">
        <w:rPr>
          <w:rFonts w:ascii="Garamond" w:hAnsi="Garamond" w:cs="Times New Roman"/>
          <w:szCs w:val="24"/>
          <w:lang w:val="en-GB"/>
        </w:rPr>
        <w:t xml:space="preserve"> </w:t>
      </w:r>
      <w:r w:rsidRPr="00D43F95">
        <w:rPr>
          <w:rFonts w:ascii="Garamond" w:hAnsi="Garamond" w:cs="Times New Roman"/>
          <w:szCs w:val="24"/>
          <w:lang w:val="en-GB"/>
        </w:rPr>
        <w:t>poor consideration of States’ climate change commitments</w:t>
      </w:r>
      <w:r w:rsidRPr="00D43F95" w:rsidDel="00AC4467">
        <w:rPr>
          <w:rStyle w:val="Appelnotedebasdep"/>
          <w:rFonts w:ascii="Garamond" w:hAnsi="Garamond" w:cs="Times New Roman"/>
          <w:szCs w:val="24"/>
          <w:lang w:val="en-GB"/>
        </w:rPr>
        <w:footnoteReference w:id="26"/>
      </w:r>
      <w:r>
        <w:rPr>
          <w:rFonts w:ascii="Garamond" w:hAnsi="Garamond" w:cs="Times New Roman"/>
          <w:szCs w:val="24"/>
          <w:lang w:val="en-GB"/>
        </w:rPr>
        <w:t xml:space="preserve"> </w:t>
      </w:r>
      <w:r w:rsidRPr="00D43F95">
        <w:rPr>
          <w:rFonts w:ascii="Garamond" w:hAnsi="Garamond" w:cs="Times New Roman"/>
          <w:szCs w:val="24"/>
          <w:lang w:val="en-GB"/>
        </w:rPr>
        <w:t xml:space="preserve">and a </w:t>
      </w:r>
      <w:r w:rsidRPr="00D43F95" w:rsidDel="00AC4467">
        <w:rPr>
          <w:rFonts w:ascii="Garamond" w:hAnsi="Garamond" w:cs="Times New Roman"/>
          <w:szCs w:val="24"/>
          <w:lang w:val="en-GB"/>
        </w:rPr>
        <w:t xml:space="preserve">tendency to disregard States’ </w:t>
      </w:r>
      <w:r w:rsidRPr="00D43F95">
        <w:rPr>
          <w:rFonts w:ascii="Garamond" w:hAnsi="Garamond" w:cs="Times New Roman"/>
          <w:szCs w:val="24"/>
          <w:lang w:val="en-GB"/>
        </w:rPr>
        <w:t xml:space="preserve">positive </w:t>
      </w:r>
      <w:r w:rsidRPr="00D43F95" w:rsidDel="00AC4467">
        <w:rPr>
          <w:rFonts w:ascii="Garamond" w:hAnsi="Garamond" w:cs="Times New Roman"/>
          <w:szCs w:val="24"/>
          <w:lang w:val="en-GB"/>
        </w:rPr>
        <w:t>obligations under human rights law</w:t>
      </w:r>
      <w:r>
        <w:rPr>
          <w:rFonts w:ascii="Garamond" w:hAnsi="Garamond" w:cs="Times New Roman"/>
          <w:szCs w:val="24"/>
          <w:lang w:val="en-GB"/>
        </w:rPr>
        <w:t>.</w:t>
      </w:r>
      <w:r w:rsidRPr="00D43F95" w:rsidDel="00AC4467">
        <w:rPr>
          <w:rStyle w:val="Appelnotedebasdep"/>
          <w:rFonts w:ascii="Garamond" w:hAnsi="Garamond" w:cs="Times New Roman"/>
          <w:szCs w:val="24"/>
          <w:lang w:val="en-GB"/>
        </w:rPr>
        <w:footnoteReference w:id="27"/>
      </w:r>
    </w:p>
    <w:p w14:paraId="5E0FBA9E" w14:textId="77777777" w:rsidR="008D4DEB" w:rsidRDefault="008D4DEB">
      <w:pPr>
        <w:pStyle w:val="Paragraphedeliste"/>
        <w:numPr>
          <w:ilvl w:val="0"/>
          <w:numId w:val="7"/>
        </w:numPr>
        <w:spacing w:beforeLines="60" w:before="144" w:afterLines="60" w:after="144" w:line="240" w:lineRule="auto"/>
        <w:contextualSpacing w:val="0"/>
        <w:jc w:val="both"/>
        <w:rPr>
          <w:rFonts w:ascii="Garamond" w:hAnsi="Garamond" w:cs="Times New Roman"/>
          <w:szCs w:val="24"/>
          <w:lang w:val="en-GB"/>
        </w:rPr>
      </w:pPr>
      <w:r w:rsidRPr="006B7EAD">
        <w:rPr>
          <w:rFonts w:ascii="Garamond" w:hAnsi="Garamond" w:cs="Times New Roman"/>
          <w:szCs w:val="24"/>
          <w:lang w:val="en-GB"/>
        </w:rPr>
        <w:t>The ECT – the most employed treaty in ISDS cases</w:t>
      </w:r>
      <w:r w:rsidRPr="006B7EAD">
        <w:rPr>
          <w:rFonts w:ascii="Garamond" w:hAnsi="Garamond" w:cs="Times New Roman"/>
          <w:szCs w:val="24"/>
          <w:vertAlign w:val="superscript"/>
          <w:lang w:val="en-GB"/>
        </w:rPr>
        <w:footnoteReference w:id="28"/>
      </w:r>
      <w:r w:rsidRPr="006B7EAD">
        <w:rPr>
          <w:rFonts w:ascii="Garamond" w:hAnsi="Garamond" w:cs="Times New Roman"/>
          <w:szCs w:val="24"/>
          <w:lang w:val="en-GB"/>
        </w:rPr>
        <w:t xml:space="preserve"> – still largely protects fossil fuel investments (c.61% of ECT-protected investment</w:t>
      </w:r>
      <w:r>
        <w:rPr>
          <w:rFonts w:ascii="Garamond" w:hAnsi="Garamond" w:cs="Times New Roman"/>
          <w:szCs w:val="24"/>
          <w:lang w:val="en-GB"/>
        </w:rPr>
        <w:t>s</w:t>
      </w:r>
      <w:r w:rsidRPr="006B7EAD">
        <w:rPr>
          <w:rFonts w:ascii="Garamond" w:hAnsi="Garamond" w:cs="Times New Roman"/>
          <w:szCs w:val="24"/>
          <w:vertAlign w:val="superscript"/>
          <w:lang w:val="en-GB"/>
        </w:rPr>
        <w:footnoteReference w:id="29"/>
      </w:r>
      <w:r w:rsidRPr="006B7EAD">
        <w:rPr>
          <w:rFonts w:ascii="Garamond" w:hAnsi="Garamond" w:cs="Times New Roman"/>
          <w:szCs w:val="24"/>
          <w:lang w:val="en-GB"/>
        </w:rPr>
        <w:t>), while fossil fuel investors have shown willingness and capacity to rely on ISDS</w:t>
      </w:r>
      <w:r>
        <w:rPr>
          <w:rFonts w:ascii="Garamond" w:hAnsi="Garamond" w:cs="Times New Roman"/>
          <w:szCs w:val="24"/>
          <w:lang w:val="en-GB"/>
        </w:rPr>
        <w:t>.</w:t>
      </w:r>
      <w:r w:rsidRPr="006B7EAD">
        <w:rPr>
          <w:rFonts w:ascii="Garamond" w:hAnsi="Garamond" w:cs="Times New Roman"/>
          <w:szCs w:val="24"/>
          <w:vertAlign w:val="superscript"/>
          <w:lang w:val="en-GB"/>
        </w:rPr>
        <w:footnoteReference w:id="30"/>
      </w:r>
      <w:r w:rsidRPr="006B7EAD">
        <w:rPr>
          <w:rFonts w:ascii="Garamond" w:hAnsi="Garamond" w:cs="Times New Roman"/>
          <w:szCs w:val="24"/>
          <w:lang w:val="en-GB"/>
        </w:rPr>
        <w:t xml:space="preserve"> The increase of ISDS cases targeting climate-related measures has already been observed in the last decade, and is expected to rise at a greater rate</w:t>
      </w:r>
      <w:r>
        <w:rPr>
          <w:rFonts w:ascii="Garamond" w:hAnsi="Garamond" w:cs="Times New Roman"/>
          <w:szCs w:val="24"/>
          <w:lang w:val="en-GB"/>
        </w:rPr>
        <w:t>.</w:t>
      </w:r>
      <w:r w:rsidRPr="006B7EAD">
        <w:rPr>
          <w:rFonts w:ascii="Garamond" w:hAnsi="Garamond"/>
          <w:szCs w:val="24"/>
          <w:vertAlign w:val="superscript"/>
          <w:lang w:val="en-GB"/>
        </w:rPr>
        <w:footnoteReference w:id="31"/>
      </w:r>
      <w:r w:rsidRPr="006B7EAD">
        <w:rPr>
          <w:rFonts w:ascii="Garamond" w:hAnsi="Garamond" w:cs="Times New Roman"/>
          <w:szCs w:val="24"/>
          <w:lang w:val="en-GB"/>
        </w:rPr>
        <w:t xml:space="preserve"> This is illustrated inter alia by: </w:t>
      </w:r>
    </w:p>
    <w:p w14:paraId="1C77192A" w14:textId="77777777" w:rsidR="008D4DEB" w:rsidRDefault="008D4DEB">
      <w:pPr>
        <w:pStyle w:val="Paragraphedeliste"/>
        <w:numPr>
          <w:ilvl w:val="0"/>
          <w:numId w:val="11"/>
        </w:numPr>
        <w:spacing w:beforeLines="60" w:before="144" w:afterLines="60" w:after="144" w:line="240" w:lineRule="auto"/>
        <w:contextualSpacing w:val="0"/>
        <w:jc w:val="both"/>
        <w:rPr>
          <w:rFonts w:ascii="Garamond" w:hAnsi="Garamond" w:cs="Times New Roman"/>
          <w:szCs w:val="24"/>
          <w:lang w:val="en-GB"/>
        </w:rPr>
      </w:pPr>
      <w:r w:rsidRPr="006B7EAD">
        <w:rPr>
          <w:rFonts w:ascii="Garamond" w:hAnsi="Garamond" w:cs="Times New Roman"/>
          <w:szCs w:val="24"/>
          <w:lang w:val="en-GB"/>
        </w:rPr>
        <w:t>two ECT claims launched in 2021 by German companies RWE and Uniper challenging the Dutch plan to phase out coal-fired generation by 2030 and seeking respectively EUR 1.4 billion and EUR 1 billion in compensation</w:t>
      </w:r>
      <w:r>
        <w:rPr>
          <w:rFonts w:ascii="Garamond" w:hAnsi="Garamond" w:cs="Times New Roman"/>
          <w:szCs w:val="24"/>
          <w:lang w:val="en-GB"/>
        </w:rPr>
        <w:t>;</w:t>
      </w:r>
      <w:r w:rsidRPr="006B7EAD">
        <w:rPr>
          <w:rFonts w:ascii="Garamond" w:hAnsi="Garamond"/>
          <w:szCs w:val="24"/>
          <w:vertAlign w:val="superscript"/>
          <w:lang w:val="en-GB"/>
        </w:rPr>
        <w:footnoteReference w:id="32"/>
      </w:r>
      <w:r w:rsidRPr="006B7EAD">
        <w:rPr>
          <w:rFonts w:ascii="Garamond" w:hAnsi="Garamond" w:cs="Times New Roman"/>
          <w:szCs w:val="24"/>
          <w:lang w:val="en-GB"/>
        </w:rPr>
        <w:t xml:space="preserve"> </w:t>
      </w:r>
    </w:p>
    <w:p w14:paraId="200D2AF7" w14:textId="77777777" w:rsidR="008D4DEB" w:rsidRDefault="008D4DEB">
      <w:pPr>
        <w:pStyle w:val="Paragraphedeliste"/>
        <w:numPr>
          <w:ilvl w:val="0"/>
          <w:numId w:val="11"/>
        </w:numPr>
        <w:spacing w:beforeLines="60" w:before="144" w:afterLines="60" w:after="144" w:line="240" w:lineRule="auto"/>
        <w:contextualSpacing w:val="0"/>
        <w:jc w:val="both"/>
        <w:rPr>
          <w:rFonts w:ascii="Garamond" w:hAnsi="Garamond" w:cs="Times New Roman"/>
          <w:szCs w:val="24"/>
          <w:lang w:val="en-GB"/>
        </w:rPr>
      </w:pPr>
      <w:r w:rsidRPr="006B7EAD">
        <w:rPr>
          <w:rFonts w:ascii="Garamond" w:hAnsi="Garamond" w:cs="Times New Roman"/>
          <w:szCs w:val="24"/>
          <w:lang w:val="en-GB"/>
        </w:rPr>
        <w:t>a USD 300 million claim by Rockhopper (UK) against Italy as it was denied a concession for oil drilling activities after all new oil and gas operations near the country’s coast were banned following citizens’ mobilisation</w:t>
      </w:r>
      <w:r>
        <w:rPr>
          <w:rFonts w:ascii="Garamond" w:hAnsi="Garamond" w:cs="Times New Roman"/>
          <w:szCs w:val="24"/>
          <w:lang w:val="en-GB"/>
        </w:rPr>
        <w:t>;</w:t>
      </w:r>
      <w:r w:rsidRPr="006B7EAD">
        <w:rPr>
          <w:rFonts w:ascii="Garamond" w:hAnsi="Garamond"/>
          <w:szCs w:val="24"/>
          <w:vertAlign w:val="superscript"/>
          <w:lang w:val="en-GB"/>
        </w:rPr>
        <w:footnoteReference w:id="33"/>
      </w:r>
    </w:p>
    <w:p w14:paraId="3435FCE1" w14:textId="77777777" w:rsidR="008D4DEB" w:rsidRPr="007D09E4" w:rsidRDefault="008D4DEB">
      <w:pPr>
        <w:pStyle w:val="Paragraphedeliste"/>
        <w:numPr>
          <w:ilvl w:val="0"/>
          <w:numId w:val="11"/>
        </w:numPr>
        <w:spacing w:beforeLines="60" w:before="144" w:afterLines="60" w:after="144" w:line="240" w:lineRule="auto"/>
        <w:contextualSpacing w:val="0"/>
        <w:jc w:val="both"/>
        <w:rPr>
          <w:rFonts w:ascii="Garamond" w:hAnsi="Garamond" w:cs="Times New Roman"/>
          <w:szCs w:val="24"/>
          <w:lang w:val="en-GB"/>
        </w:rPr>
      </w:pPr>
      <w:r w:rsidRPr="006B7EAD">
        <w:rPr>
          <w:rFonts w:ascii="Garamond" w:hAnsi="Garamond" w:cs="Times New Roman"/>
          <w:szCs w:val="24"/>
          <w:lang w:val="en-GB"/>
        </w:rPr>
        <w:t>a claim by Ascent Resources (UK) seeking more than USD 100 million from Slovenia following its recent fracking ban</w:t>
      </w:r>
      <w:r>
        <w:rPr>
          <w:rFonts w:ascii="Garamond" w:hAnsi="Garamond" w:cs="Times New Roman"/>
          <w:szCs w:val="24"/>
          <w:lang w:val="en-GB"/>
        </w:rPr>
        <w:t>;</w:t>
      </w:r>
      <w:r w:rsidRPr="006B7EAD">
        <w:rPr>
          <w:rFonts w:ascii="Garamond" w:hAnsi="Garamond"/>
          <w:szCs w:val="24"/>
          <w:vertAlign w:val="superscript"/>
          <w:lang w:val="en-GB"/>
        </w:rPr>
        <w:footnoteReference w:id="34"/>
      </w:r>
    </w:p>
    <w:p w14:paraId="16331197" w14:textId="77777777" w:rsidR="008D4DEB" w:rsidRPr="006B7EAD" w:rsidRDefault="008D4DEB">
      <w:pPr>
        <w:pStyle w:val="Paragraphedeliste"/>
        <w:numPr>
          <w:ilvl w:val="0"/>
          <w:numId w:val="11"/>
        </w:numPr>
        <w:spacing w:beforeLines="60" w:before="144" w:afterLines="60" w:after="144" w:line="240" w:lineRule="auto"/>
        <w:contextualSpacing w:val="0"/>
        <w:jc w:val="both"/>
        <w:rPr>
          <w:rFonts w:ascii="Garamond" w:hAnsi="Garamond" w:cs="Times New Roman"/>
          <w:szCs w:val="24"/>
          <w:lang w:val="en-GB"/>
        </w:rPr>
      </w:pPr>
      <w:r w:rsidRPr="006B7EAD">
        <w:rPr>
          <w:rFonts w:ascii="Garamond" w:hAnsi="Garamond"/>
          <w:szCs w:val="24"/>
          <w:lang w:val="en-GB"/>
        </w:rPr>
        <w:t>a claim initiated by a Clara Petroleum (UK) in April 2022 against Romania, in a context of local protests against fracking</w:t>
      </w:r>
      <w:r>
        <w:rPr>
          <w:rFonts w:ascii="Garamond" w:hAnsi="Garamond"/>
          <w:szCs w:val="24"/>
          <w:lang w:val="en-GB"/>
        </w:rPr>
        <w:t>.</w:t>
      </w:r>
      <w:r w:rsidRPr="006B7EAD">
        <w:rPr>
          <w:rFonts w:ascii="Garamond" w:hAnsi="Garamond"/>
          <w:szCs w:val="24"/>
          <w:vertAlign w:val="superscript"/>
          <w:lang w:val="en-GB"/>
        </w:rPr>
        <w:footnoteReference w:id="35"/>
      </w:r>
      <w:r w:rsidRPr="006B7EAD">
        <w:rPr>
          <w:rFonts w:ascii="Garamond" w:hAnsi="Garamond"/>
          <w:szCs w:val="24"/>
          <w:lang w:val="en-GB"/>
        </w:rPr>
        <w:t xml:space="preserve"> </w:t>
      </w:r>
    </w:p>
    <w:p w14:paraId="40369D21" w14:textId="77777777" w:rsidR="008D4DEB" w:rsidRPr="00FB2DC3" w:rsidRDefault="008D4DEB">
      <w:pPr>
        <w:pStyle w:val="Paragraphedeliste"/>
        <w:numPr>
          <w:ilvl w:val="0"/>
          <w:numId w:val="7"/>
        </w:numPr>
        <w:spacing w:beforeLines="60" w:before="144" w:afterLines="60" w:after="144" w:line="240" w:lineRule="auto"/>
        <w:contextualSpacing w:val="0"/>
        <w:jc w:val="both"/>
        <w:rPr>
          <w:rFonts w:ascii="Garamond" w:hAnsi="Garamond" w:cs="Times New Roman"/>
          <w:szCs w:val="24"/>
          <w:lang w:val="en-GB"/>
        </w:rPr>
      </w:pPr>
      <w:r w:rsidRPr="00FB2DC3">
        <w:rPr>
          <w:rFonts w:ascii="Garamond" w:hAnsi="Garamond" w:cs="Times New Roman"/>
          <w:szCs w:val="24"/>
          <w:lang w:val="en-GB"/>
        </w:rPr>
        <w:t>ECT claims or risks thereof have sometimes resulted in very favourable settlements in favour of fossil fuel investors. As an illustration, Germany implemented its coal phase out through a confidential agreement negotiated directly with coal companies, which received a total of EUR 4.35 billion and waived of their right to sue under the ECT</w:t>
      </w:r>
      <w:r>
        <w:rPr>
          <w:rFonts w:ascii="Garamond" w:hAnsi="Garamond" w:cs="Times New Roman"/>
          <w:szCs w:val="24"/>
          <w:lang w:val="en-GB"/>
        </w:rPr>
        <w:t>.</w:t>
      </w:r>
      <w:r w:rsidRPr="00EA6AD3">
        <w:rPr>
          <w:rStyle w:val="Appelnotedebasdep"/>
          <w:rFonts w:ascii="Garamond" w:hAnsi="Garamond" w:cs="Times New Roman"/>
          <w:szCs w:val="24"/>
          <w:lang w:val="en-GB"/>
        </w:rPr>
        <w:footnoteReference w:id="36"/>
      </w:r>
    </w:p>
    <w:p w14:paraId="0A36DB93" w14:textId="77777777" w:rsidR="008D4DEB" w:rsidRPr="008D4DEB" w:rsidRDefault="008D4DEB" w:rsidP="00813D7F">
      <w:pPr>
        <w:pStyle w:val="Titre4"/>
        <w:keepNext/>
        <w:spacing w:line="240" w:lineRule="auto"/>
        <w:ind w:left="709"/>
        <w:rPr>
          <w:rFonts w:ascii="Garamond" w:hAnsi="Garamond"/>
          <w:color w:val="002060"/>
          <w:lang w:val="en-US"/>
        </w:rPr>
      </w:pPr>
      <w:r w:rsidRPr="008D4DEB">
        <w:rPr>
          <w:rFonts w:ascii="Garamond" w:hAnsi="Garamond"/>
          <w:color w:val="002060"/>
          <w:lang w:val="en-US"/>
        </w:rPr>
        <w:lastRenderedPageBreak/>
        <w:t xml:space="preserve">The considerable financial pressure on States </w:t>
      </w:r>
    </w:p>
    <w:p w14:paraId="75924F0C" w14:textId="77777777" w:rsidR="008D4DEB" w:rsidRDefault="008D4DEB" w:rsidP="00813D7F">
      <w:pPr>
        <w:pStyle w:val="Paragraphedeliste"/>
        <w:keepNext/>
        <w:numPr>
          <w:ilvl w:val="0"/>
          <w:numId w:val="7"/>
        </w:numPr>
        <w:spacing w:after="240" w:line="240" w:lineRule="auto"/>
        <w:contextualSpacing w:val="0"/>
        <w:jc w:val="both"/>
        <w:rPr>
          <w:rFonts w:ascii="Garamond" w:hAnsi="Garamond"/>
          <w:szCs w:val="24"/>
          <w:lang w:val="en-GB"/>
        </w:rPr>
      </w:pPr>
      <w:bookmarkStart w:id="18" w:name="_Hlk106263893"/>
      <w:bookmarkStart w:id="19" w:name="_Ref98428458"/>
      <w:r w:rsidRPr="00D43F95">
        <w:rPr>
          <w:rFonts w:ascii="Garamond" w:hAnsi="Garamond"/>
          <w:szCs w:val="24"/>
          <w:lang w:val="en-GB"/>
        </w:rPr>
        <w:t>A number of research</w:t>
      </w:r>
      <w:r>
        <w:rPr>
          <w:rFonts w:ascii="Garamond" w:hAnsi="Garamond"/>
          <w:szCs w:val="24"/>
          <w:lang w:val="en-GB"/>
        </w:rPr>
        <w:t xml:space="preserve"> studies </w:t>
      </w:r>
      <w:r w:rsidRPr="00D43F95">
        <w:rPr>
          <w:rFonts w:ascii="Garamond" w:hAnsi="Garamond"/>
          <w:szCs w:val="24"/>
          <w:lang w:val="en-GB"/>
        </w:rPr>
        <w:t xml:space="preserve">have </w:t>
      </w:r>
      <w:r w:rsidRPr="0FC70AE5">
        <w:rPr>
          <w:rFonts w:ascii="Garamond" w:hAnsi="Garamond"/>
          <w:szCs w:val="24"/>
          <w:lang w:val="en-GB"/>
        </w:rPr>
        <w:t>attempted to quantify</w:t>
      </w:r>
      <w:r w:rsidRPr="00D43F95">
        <w:rPr>
          <w:rFonts w:ascii="Garamond" w:hAnsi="Garamond"/>
          <w:szCs w:val="24"/>
          <w:lang w:val="en-GB"/>
        </w:rPr>
        <w:t xml:space="preserve"> the costs that States may incur from future ECT cases should they phase-out fossil fuel projects to implement the energy transition. </w:t>
      </w:r>
      <w:r>
        <w:rPr>
          <w:rFonts w:ascii="Garamond" w:hAnsi="Garamond"/>
          <w:szCs w:val="24"/>
          <w:lang w:val="en-GB"/>
        </w:rPr>
        <w:t>They</w:t>
      </w:r>
      <w:r w:rsidRPr="00D43F95">
        <w:rPr>
          <w:rFonts w:ascii="Garamond" w:hAnsi="Garamond"/>
          <w:szCs w:val="24"/>
          <w:lang w:val="en-GB"/>
        </w:rPr>
        <w:t xml:space="preserve"> have valued the potential overall cost</w:t>
      </w:r>
      <w:bookmarkEnd w:id="18"/>
      <w:r>
        <w:rPr>
          <w:rFonts w:ascii="Garamond" w:hAnsi="Garamond"/>
          <w:szCs w:val="24"/>
          <w:lang w:val="en-GB"/>
        </w:rPr>
        <w:t xml:space="preserve"> at</w:t>
      </w:r>
      <w:r w:rsidRPr="00D43F95">
        <w:rPr>
          <w:rFonts w:ascii="Garamond" w:hAnsi="Garamond"/>
          <w:szCs w:val="24"/>
          <w:lang w:val="en-GB"/>
        </w:rPr>
        <w:t xml:space="preserve">: </w:t>
      </w:r>
    </w:p>
    <w:p w14:paraId="08EF657E" w14:textId="77777777" w:rsidR="008D4DEB" w:rsidRDefault="008D4DEB">
      <w:pPr>
        <w:pStyle w:val="Paragraphedeliste"/>
        <w:numPr>
          <w:ilvl w:val="0"/>
          <w:numId w:val="10"/>
        </w:numPr>
        <w:spacing w:after="240" w:line="240" w:lineRule="auto"/>
        <w:contextualSpacing w:val="0"/>
        <w:jc w:val="both"/>
        <w:rPr>
          <w:rFonts w:ascii="Garamond" w:hAnsi="Garamond"/>
          <w:szCs w:val="24"/>
          <w:lang w:val="en-GB"/>
        </w:rPr>
      </w:pPr>
      <w:bookmarkStart w:id="20" w:name="_Hlk106263962"/>
      <w:r w:rsidRPr="00D43F95">
        <w:rPr>
          <w:rFonts w:ascii="Garamond" w:hAnsi="Garamond"/>
          <w:szCs w:val="24"/>
          <w:lang w:val="en-GB"/>
        </w:rPr>
        <w:t>EUR 523.5 billion</w:t>
      </w:r>
      <w:r>
        <w:rPr>
          <w:rFonts w:ascii="Garamond" w:hAnsi="Garamond"/>
          <w:szCs w:val="24"/>
          <w:lang w:val="en-GB"/>
        </w:rPr>
        <w:t>,</w:t>
      </w:r>
      <w:r w:rsidRPr="00D43F95">
        <w:rPr>
          <w:rStyle w:val="Appelnotedebasdep"/>
          <w:rFonts w:ascii="Garamond" w:hAnsi="Garamond"/>
          <w:szCs w:val="24"/>
          <w:lang w:val="en-GB"/>
        </w:rPr>
        <w:footnoteReference w:id="37"/>
      </w:r>
      <w:r>
        <w:rPr>
          <w:rFonts w:ascii="Garamond" w:hAnsi="Garamond"/>
          <w:szCs w:val="24"/>
          <w:lang w:val="en-GB"/>
        </w:rPr>
        <w:t xml:space="preserve"> </w:t>
      </w:r>
      <w:r w:rsidRPr="00D43F95">
        <w:rPr>
          <w:rFonts w:ascii="Garamond" w:hAnsi="Garamond"/>
          <w:szCs w:val="24"/>
          <w:lang w:val="en-GB"/>
        </w:rPr>
        <w:t xml:space="preserve">based </w:t>
      </w:r>
      <w:r>
        <w:rPr>
          <w:rFonts w:ascii="Garamond" w:hAnsi="Garamond"/>
          <w:szCs w:val="24"/>
          <w:lang w:val="en-GB"/>
        </w:rPr>
        <w:t xml:space="preserve">on the </w:t>
      </w:r>
      <w:r w:rsidRPr="00D43F95">
        <w:rPr>
          <w:rFonts w:ascii="Garamond" w:hAnsi="Garamond"/>
          <w:szCs w:val="24"/>
          <w:lang w:val="en-GB"/>
        </w:rPr>
        <w:t>average amount awarded in ISDS cases</w:t>
      </w:r>
      <w:bookmarkEnd w:id="20"/>
      <w:r>
        <w:rPr>
          <w:rFonts w:ascii="Garamond" w:hAnsi="Garamond"/>
          <w:szCs w:val="24"/>
          <w:lang w:val="en-GB"/>
        </w:rPr>
        <w:t xml:space="preserve">; </w:t>
      </w:r>
      <w:r w:rsidRPr="0093422C">
        <w:rPr>
          <w:rFonts w:ascii="Garamond" w:hAnsi="Garamond"/>
          <w:szCs w:val="24"/>
          <w:lang w:val="en-GB"/>
        </w:rPr>
        <w:t xml:space="preserve">this cost </w:t>
      </w:r>
      <w:r>
        <w:rPr>
          <w:rFonts w:ascii="Garamond" w:hAnsi="Garamond"/>
          <w:szCs w:val="24"/>
          <w:lang w:val="en-GB"/>
        </w:rPr>
        <w:t xml:space="preserve">could increase </w:t>
      </w:r>
      <w:r w:rsidRPr="0093422C">
        <w:rPr>
          <w:rFonts w:ascii="Garamond" w:hAnsi="Garamond"/>
          <w:szCs w:val="24"/>
          <w:lang w:val="en-GB"/>
        </w:rPr>
        <w:t xml:space="preserve">to </w:t>
      </w:r>
      <w:r>
        <w:rPr>
          <w:rFonts w:ascii="Garamond" w:hAnsi="Garamond"/>
          <w:szCs w:val="24"/>
          <w:lang w:val="en-GB"/>
        </w:rPr>
        <w:t xml:space="preserve">EUR </w:t>
      </w:r>
      <w:r w:rsidRPr="0093422C">
        <w:rPr>
          <w:rFonts w:ascii="Garamond" w:hAnsi="Garamond"/>
          <w:szCs w:val="24"/>
          <w:lang w:val="en-GB"/>
        </w:rPr>
        <w:t xml:space="preserve">1.3 trillion </w:t>
      </w:r>
      <w:r>
        <w:rPr>
          <w:rFonts w:ascii="Garamond" w:hAnsi="Garamond"/>
          <w:szCs w:val="24"/>
          <w:lang w:val="en-GB"/>
        </w:rPr>
        <w:t xml:space="preserve">should </w:t>
      </w:r>
      <w:r w:rsidRPr="0093422C">
        <w:rPr>
          <w:rFonts w:ascii="Garamond" w:hAnsi="Garamond"/>
          <w:szCs w:val="24"/>
          <w:lang w:val="en-GB"/>
        </w:rPr>
        <w:t>the</w:t>
      </w:r>
      <w:r>
        <w:rPr>
          <w:rFonts w:ascii="Garamond" w:hAnsi="Garamond"/>
          <w:szCs w:val="24"/>
          <w:lang w:val="en-GB"/>
        </w:rPr>
        <w:t xml:space="preserve"> ECT</w:t>
      </w:r>
      <w:r w:rsidRPr="0093422C">
        <w:rPr>
          <w:rFonts w:ascii="Garamond" w:hAnsi="Garamond"/>
          <w:szCs w:val="24"/>
          <w:lang w:val="en-GB"/>
        </w:rPr>
        <w:t xml:space="preserve"> ISDS mechanism continu</w:t>
      </w:r>
      <w:r>
        <w:rPr>
          <w:rFonts w:ascii="Garamond" w:hAnsi="Garamond"/>
          <w:szCs w:val="24"/>
          <w:lang w:val="en-GB"/>
        </w:rPr>
        <w:t>e</w:t>
      </w:r>
      <w:r w:rsidRPr="0093422C">
        <w:rPr>
          <w:rFonts w:ascii="Garamond" w:hAnsi="Garamond"/>
          <w:szCs w:val="24"/>
          <w:lang w:val="en-GB"/>
        </w:rPr>
        <w:t xml:space="preserve"> until 2050</w:t>
      </w:r>
      <w:r>
        <w:rPr>
          <w:rFonts w:ascii="Garamond" w:hAnsi="Garamond"/>
          <w:szCs w:val="24"/>
          <w:lang w:val="en-GB"/>
        </w:rPr>
        <w:t>;</w:t>
      </w:r>
      <w:r w:rsidRPr="00D43F95">
        <w:rPr>
          <w:rStyle w:val="Appelnotedebasdep"/>
          <w:rFonts w:ascii="Garamond" w:hAnsi="Garamond"/>
          <w:szCs w:val="24"/>
          <w:lang w:val="en-GB"/>
        </w:rPr>
        <w:footnoteReference w:id="38"/>
      </w:r>
      <w:r>
        <w:rPr>
          <w:rFonts w:ascii="Garamond" w:hAnsi="Garamond"/>
          <w:szCs w:val="24"/>
          <w:lang w:val="en-GB"/>
        </w:rPr>
        <w:t xml:space="preserve"> </w:t>
      </w:r>
    </w:p>
    <w:p w14:paraId="63153610" w14:textId="77777777" w:rsidR="008D4DEB" w:rsidRDefault="008D4DEB">
      <w:pPr>
        <w:pStyle w:val="Paragraphedeliste"/>
        <w:numPr>
          <w:ilvl w:val="0"/>
          <w:numId w:val="10"/>
        </w:numPr>
        <w:spacing w:after="240" w:line="240" w:lineRule="auto"/>
        <w:contextualSpacing w:val="0"/>
        <w:jc w:val="both"/>
        <w:rPr>
          <w:rFonts w:ascii="Garamond" w:hAnsi="Garamond"/>
          <w:szCs w:val="24"/>
          <w:lang w:val="en-GB"/>
        </w:rPr>
      </w:pPr>
      <w:r w:rsidRPr="00D43F95">
        <w:rPr>
          <w:rFonts w:ascii="Garamond" w:hAnsi="Garamond"/>
          <w:szCs w:val="24"/>
          <w:lang w:val="en-GB"/>
        </w:rPr>
        <w:t>EUR 344.6 billion</w:t>
      </w:r>
      <w:r>
        <w:rPr>
          <w:rFonts w:ascii="Garamond" w:hAnsi="Garamond"/>
          <w:szCs w:val="24"/>
          <w:lang w:val="en-GB"/>
        </w:rPr>
        <w:t>,</w:t>
      </w:r>
      <w:r w:rsidRPr="00D43F95">
        <w:rPr>
          <w:rFonts w:ascii="Garamond" w:hAnsi="Garamond"/>
          <w:szCs w:val="24"/>
          <w:lang w:val="en-GB"/>
        </w:rPr>
        <w:t xml:space="preserve"> based on an investment cost approach (</w:t>
      </w:r>
      <w:r w:rsidRPr="00D43F95">
        <w:rPr>
          <w:rFonts w:ascii="Garamond" w:hAnsi="Garamond"/>
          <w:i/>
          <w:szCs w:val="24"/>
          <w:lang w:val="en-GB"/>
        </w:rPr>
        <w:t xml:space="preserve">i.e. </w:t>
      </w:r>
      <w:r w:rsidRPr="00D43F95">
        <w:rPr>
          <w:rFonts w:ascii="Garamond" w:hAnsi="Garamond"/>
          <w:szCs w:val="24"/>
          <w:lang w:val="en-GB"/>
        </w:rPr>
        <w:t>the current value of ECT-protected assets)</w:t>
      </w:r>
      <w:r>
        <w:rPr>
          <w:rFonts w:ascii="Garamond" w:hAnsi="Garamond"/>
          <w:szCs w:val="24"/>
          <w:lang w:val="en-GB"/>
        </w:rPr>
        <w:t xml:space="preserve">, </w:t>
      </w:r>
      <w:r w:rsidRPr="00D43F95">
        <w:rPr>
          <w:rFonts w:ascii="Garamond" w:hAnsi="Garamond"/>
          <w:szCs w:val="24"/>
          <w:lang w:val="en-GB"/>
        </w:rPr>
        <w:t>for the EU, the UK and Switzerland alone</w:t>
      </w:r>
      <w:r>
        <w:rPr>
          <w:rFonts w:ascii="Garamond" w:hAnsi="Garamond"/>
          <w:szCs w:val="24"/>
          <w:lang w:val="en-GB"/>
        </w:rPr>
        <w:t>;</w:t>
      </w:r>
      <w:r w:rsidRPr="00D43F95">
        <w:rPr>
          <w:rStyle w:val="Appelnotedebasdep"/>
          <w:rFonts w:ascii="Garamond" w:hAnsi="Garamond"/>
          <w:szCs w:val="24"/>
          <w:lang w:val="en-GB"/>
        </w:rPr>
        <w:footnoteReference w:id="39"/>
      </w:r>
      <w:r>
        <w:rPr>
          <w:rFonts w:ascii="Garamond" w:hAnsi="Garamond"/>
          <w:szCs w:val="24"/>
          <w:lang w:val="en-GB"/>
        </w:rPr>
        <w:t xml:space="preserve"> </w:t>
      </w:r>
    </w:p>
    <w:p w14:paraId="3FC7F2DB" w14:textId="77777777" w:rsidR="008D4DEB" w:rsidRDefault="008D4DEB">
      <w:pPr>
        <w:pStyle w:val="Paragraphedeliste"/>
        <w:numPr>
          <w:ilvl w:val="0"/>
          <w:numId w:val="10"/>
        </w:numPr>
        <w:spacing w:after="240" w:line="240" w:lineRule="auto"/>
        <w:contextualSpacing w:val="0"/>
        <w:jc w:val="both"/>
        <w:rPr>
          <w:rFonts w:ascii="Garamond" w:hAnsi="Garamond"/>
          <w:szCs w:val="24"/>
          <w:lang w:val="en-GB"/>
        </w:rPr>
      </w:pPr>
      <w:r w:rsidRPr="00B72C16">
        <w:rPr>
          <w:rFonts w:ascii="Garamond" w:hAnsi="Garamond"/>
          <w:szCs w:val="24"/>
          <w:lang w:val="en-GB"/>
        </w:rPr>
        <w:t>USD 111.5 billion</w:t>
      </w:r>
      <w:r>
        <w:rPr>
          <w:rFonts w:ascii="Garamond" w:hAnsi="Garamond"/>
          <w:szCs w:val="24"/>
          <w:lang w:val="en-GB"/>
        </w:rPr>
        <w:t>,</w:t>
      </w:r>
      <w:r w:rsidRPr="008A4EE2">
        <w:rPr>
          <w:rStyle w:val="Appelnotedebasdep"/>
          <w:rFonts w:ascii="Garamond" w:hAnsi="Garamond"/>
          <w:szCs w:val="24"/>
          <w:lang w:val="en-GB"/>
        </w:rPr>
        <w:footnoteReference w:id="40"/>
      </w:r>
      <w:r w:rsidRPr="00B72C16">
        <w:rPr>
          <w:rFonts w:ascii="Garamond" w:hAnsi="Garamond"/>
          <w:szCs w:val="24"/>
          <w:lang w:val="en-GB"/>
        </w:rPr>
        <w:t xml:space="preserve"> based only on the cancellation </w:t>
      </w:r>
      <w:r w:rsidRPr="00F850AC">
        <w:rPr>
          <w:rFonts w:ascii="Garamond" w:hAnsi="Garamond"/>
          <w:szCs w:val="24"/>
          <w:lang w:val="en-GB"/>
        </w:rPr>
        <w:t>of upstream oil and gas projects</w:t>
      </w:r>
      <w:r>
        <w:rPr>
          <w:rFonts w:ascii="Garamond" w:hAnsi="Garamond"/>
          <w:szCs w:val="24"/>
          <w:lang w:val="en-GB"/>
        </w:rPr>
        <w:t xml:space="preserve"> (excluding coal or downstream infrastructure)</w:t>
      </w:r>
      <w:r w:rsidRPr="00F850AC">
        <w:rPr>
          <w:rFonts w:ascii="Garamond" w:hAnsi="Garamond"/>
          <w:szCs w:val="24"/>
          <w:lang w:val="en-GB"/>
        </w:rPr>
        <w:t xml:space="preserve"> that had not commenced production by the end of 2021</w:t>
      </w:r>
      <w:r>
        <w:rPr>
          <w:rFonts w:ascii="Garamond" w:hAnsi="Garamond"/>
          <w:szCs w:val="24"/>
          <w:lang w:val="en-GB"/>
        </w:rPr>
        <w:t xml:space="preserve"> in accordance with IEA Net Zero </w:t>
      </w:r>
      <w:r w:rsidRPr="006C6B25">
        <w:rPr>
          <w:rFonts w:ascii="Garamond" w:hAnsi="Garamond"/>
          <w:szCs w:val="24"/>
          <w:lang w:val="en-GB"/>
        </w:rPr>
        <w:t xml:space="preserve">Roadmap </w:t>
      </w:r>
      <w:r>
        <w:rPr>
          <w:rFonts w:ascii="Garamond" w:hAnsi="Garamond"/>
          <w:szCs w:val="24"/>
          <w:lang w:val="en-GB"/>
        </w:rPr>
        <w:t xml:space="preserve">– </w:t>
      </w:r>
      <w:bookmarkEnd w:id="19"/>
      <w:r>
        <w:rPr>
          <w:rFonts w:ascii="Garamond" w:hAnsi="Garamond"/>
          <w:szCs w:val="24"/>
          <w:lang w:val="en-GB"/>
        </w:rPr>
        <w:t xml:space="preserve">a </w:t>
      </w:r>
      <w:r w:rsidRPr="00607A73">
        <w:rPr>
          <w:rFonts w:ascii="Garamond" w:hAnsi="Garamond"/>
          <w:szCs w:val="24"/>
          <w:lang w:val="en-GB"/>
        </w:rPr>
        <w:t xml:space="preserve">conservative approach as the best available science confirms that achieving the LTTG of 1.5°C requires early retirements of existing </w:t>
      </w:r>
      <w:r>
        <w:rPr>
          <w:rFonts w:ascii="Garamond" w:hAnsi="Garamond"/>
          <w:szCs w:val="24"/>
          <w:lang w:val="en-GB"/>
        </w:rPr>
        <w:t>installations</w:t>
      </w:r>
      <w:r w:rsidRPr="00607A73">
        <w:rPr>
          <w:rFonts w:ascii="Garamond" w:hAnsi="Garamond"/>
          <w:szCs w:val="24"/>
          <w:lang w:val="en-GB"/>
        </w:rPr>
        <w:t xml:space="preserve"> (</w:t>
      </w:r>
      <w:r>
        <w:rPr>
          <w:rFonts w:ascii="Garamond" w:hAnsi="Garamond"/>
          <w:szCs w:val="24"/>
          <w:lang w:val="en-GB"/>
        </w:rPr>
        <w:t>above §7</w:t>
      </w:r>
      <w:r w:rsidRPr="00B72C16">
        <w:rPr>
          <w:rFonts w:ascii="Garamond" w:hAnsi="Garamond"/>
          <w:szCs w:val="24"/>
          <w:lang w:val="en-GB"/>
        </w:rPr>
        <w:t>)</w:t>
      </w:r>
      <w:r w:rsidRPr="00F1679C">
        <w:rPr>
          <w:rFonts w:ascii="Garamond" w:hAnsi="Garamond"/>
          <w:szCs w:val="24"/>
          <w:lang w:val="en-GB"/>
        </w:rPr>
        <w:t>.</w:t>
      </w:r>
    </w:p>
    <w:p w14:paraId="74BC9CBD" w14:textId="77777777" w:rsidR="008D4DEB" w:rsidRPr="00520CA8" w:rsidRDefault="008D4DEB">
      <w:pPr>
        <w:pStyle w:val="Paragraphedeliste"/>
        <w:numPr>
          <w:ilvl w:val="0"/>
          <w:numId w:val="7"/>
        </w:numPr>
        <w:spacing w:after="160"/>
        <w:contextualSpacing w:val="0"/>
        <w:jc w:val="both"/>
        <w:rPr>
          <w:rFonts w:ascii="Garamond" w:hAnsi="Garamond"/>
          <w:szCs w:val="24"/>
          <w:lang w:val="en-GB"/>
        </w:rPr>
      </w:pPr>
      <w:r w:rsidRPr="0029784D">
        <w:rPr>
          <w:rFonts w:ascii="Garamond" w:hAnsi="Garamond" w:cs="Times New Roman"/>
          <w:szCs w:val="24"/>
          <w:lang w:val="en-GB"/>
        </w:rPr>
        <w:t>These</w:t>
      </w:r>
      <w:r w:rsidRPr="00B72C16">
        <w:rPr>
          <w:rFonts w:ascii="Garamond" w:hAnsi="Garamond"/>
          <w:szCs w:val="24"/>
          <w:lang w:val="en-GB"/>
        </w:rPr>
        <w:t xml:space="preserve"> studies demonstrate that States are exposed to considerable financial risks should they decide to act swiftly to pursue major </w:t>
      </w:r>
      <w:r w:rsidRPr="00D10584">
        <w:rPr>
          <w:rFonts w:ascii="Garamond" w:hAnsi="Garamond"/>
          <w:szCs w:val="24"/>
          <w:lang w:val="en-GB"/>
        </w:rPr>
        <w:t>transitions in the energy sector</w:t>
      </w:r>
      <w:r w:rsidRPr="00D10584">
        <w:rPr>
          <w:rStyle w:val="Appelnotedebasdep"/>
          <w:rFonts w:ascii="Garamond" w:hAnsi="Garamond"/>
          <w:szCs w:val="24"/>
          <w:lang w:val="en-GB"/>
        </w:rPr>
        <w:footnoteReference w:id="41"/>
      </w:r>
      <w:r>
        <w:rPr>
          <w:rFonts w:ascii="Garamond" w:hAnsi="Garamond" w:cs="Times New Roman"/>
          <w:szCs w:val="24"/>
          <w:lang w:val="en-GB"/>
        </w:rPr>
        <w:t xml:space="preserve"> </w:t>
      </w:r>
      <w:r w:rsidDel="00830ACA">
        <w:rPr>
          <w:rFonts w:ascii="Garamond" w:hAnsi="Garamond"/>
          <w:szCs w:val="24"/>
          <w:lang w:val="en-GB"/>
        </w:rPr>
        <w:t xml:space="preserve">even though </w:t>
      </w:r>
      <w:r w:rsidRPr="00BF663C" w:rsidDel="00830ACA">
        <w:rPr>
          <w:rFonts w:ascii="Garamond" w:hAnsi="Garamond"/>
          <w:szCs w:val="24"/>
          <w:lang w:val="en-GB"/>
        </w:rPr>
        <w:t>most tribunals considered the reform</w:t>
      </w:r>
      <w:r w:rsidDel="00830ACA">
        <w:rPr>
          <w:rFonts w:ascii="Garamond" w:hAnsi="Garamond"/>
          <w:szCs w:val="24"/>
          <w:lang w:val="en-GB"/>
        </w:rPr>
        <w:t>s</w:t>
      </w:r>
      <w:r w:rsidRPr="00BF663C" w:rsidDel="00830ACA">
        <w:rPr>
          <w:rFonts w:ascii="Garamond" w:hAnsi="Garamond"/>
          <w:szCs w:val="24"/>
          <w:lang w:val="en-GB"/>
        </w:rPr>
        <w:t xml:space="preserve"> to be reasonable and legitimate</w:t>
      </w:r>
      <w:r w:rsidDel="00830ACA">
        <w:rPr>
          <w:rFonts w:ascii="Garamond" w:hAnsi="Garamond" w:cs="Times New Roman"/>
          <w:szCs w:val="24"/>
          <w:lang w:val="en-GB"/>
        </w:rPr>
        <w:t xml:space="preserve">. </w:t>
      </w:r>
      <w:r>
        <w:rPr>
          <w:rFonts w:ascii="Garamond" w:hAnsi="Garamond" w:cs="Times New Roman"/>
          <w:szCs w:val="24"/>
          <w:lang w:val="en-GB"/>
        </w:rPr>
        <w:t>S</w:t>
      </w:r>
      <w:r w:rsidRPr="0029784D">
        <w:rPr>
          <w:rFonts w:ascii="Garamond" w:hAnsi="Garamond" w:cs="Times New Roman"/>
          <w:szCs w:val="24"/>
          <w:lang w:val="en-GB"/>
        </w:rPr>
        <w:t>uch a diversion of funds from climate action would impede the energy transition, especially in countries most vulnerable to financial risks (</w:t>
      </w:r>
      <w:r w:rsidRPr="0029784D">
        <w:rPr>
          <w:rFonts w:ascii="Garamond" w:hAnsi="Garamond" w:cs="Times New Roman"/>
          <w:i/>
          <w:szCs w:val="24"/>
          <w:lang w:val="en-GB"/>
        </w:rPr>
        <w:t xml:space="preserve">i.e. </w:t>
      </w:r>
      <w:r w:rsidRPr="0029784D">
        <w:rPr>
          <w:rFonts w:ascii="Garamond" w:hAnsi="Garamond" w:cs="Times New Roman"/>
          <w:szCs w:val="24"/>
          <w:lang w:val="en-GB"/>
        </w:rPr>
        <w:t xml:space="preserve">smaller economies, including those expected to join the ECT which host a large number of </w:t>
      </w:r>
      <w:r w:rsidRPr="0FC70AE5">
        <w:rPr>
          <w:rFonts w:ascii="Garamond" w:hAnsi="Garamond"/>
          <w:szCs w:val="24"/>
          <w:lang w:val="en-GB"/>
        </w:rPr>
        <w:t>fossil fuel</w:t>
      </w:r>
      <w:r w:rsidRPr="0029784D">
        <w:rPr>
          <w:rFonts w:ascii="Garamond" w:hAnsi="Garamond" w:cs="Times New Roman"/>
          <w:szCs w:val="24"/>
          <w:lang w:val="en-GB"/>
        </w:rPr>
        <w:t xml:space="preserve"> investments that would be protected</w:t>
      </w:r>
      <w:r w:rsidRPr="00D43F95">
        <w:rPr>
          <w:rStyle w:val="Appelnotedebasdep"/>
          <w:rFonts w:ascii="Garamond" w:hAnsi="Garamond" w:cs="Times New Roman"/>
          <w:szCs w:val="24"/>
          <w:lang w:val="en-GB"/>
        </w:rPr>
        <w:footnoteReference w:id="42"/>
      </w:r>
      <w:r w:rsidRPr="0029784D">
        <w:rPr>
          <w:rFonts w:ascii="Garamond" w:hAnsi="Garamond" w:cs="Times New Roman"/>
          <w:szCs w:val="24"/>
          <w:lang w:val="en-GB"/>
        </w:rPr>
        <w:t>). Besides, for investors to have such a form of insurance against regulatory changes, encourages new investments in fossil fuel activities and “slows the divestment necessary for the energy transition”</w:t>
      </w:r>
      <w:r>
        <w:rPr>
          <w:rFonts w:ascii="Garamond" w:hAnsi="Garamond" w:cs="Times New Roman"/>
          <w:szCs w:val="24"/>
          <w:lang w:val="en-GB"/>
        </w:rPr>
        <w:t>.</w:t>
      </w:r>
      <w:r w:rsidRPr="00D43F95">
        <w:rPr>
          <w:rStyle w:val="Appelnotedebasdep"/>
          <w:rFonts w:ascii="Garamond" w:hAnsi="Garamond" w:cs="Times New Roman"/>
          <w:szCs w:val="24"/>
          <w:lang w:val="en-GB"/>
        </w:rPr>
        <w:footnoteReference w:id="43"/>
      </w:r>
      <w:r>
        <w:rPr>
          <w:rFonts w:ascii="Garamond" w:hAnsi="Garamond" w:cs="Times New Roman"/>
          <w:szCs w:val="24"/>
          <w:lang w:val="en-GB"/>
        </w:rPr>
        <w:t xml:space="preserve"> </w:t>
      </w:r>
      <w:r w:rsidRPr="0082019B">
        <w:rPr>
          <w:rFonts w:ascii="Garamond" w:hAnsi="Garamond" w:cs="Times New Roman"/>
          <w:szCs w:val="24"/>
          <w:lang w:val="en-GB"/>
        </w:rPr>
        <w:t>In recent years, ECT claims have increased at a faster rate in particular from investors incorporated in the Respondent States, indicating how vulnerable to ECT risks States are</w:t>
      </w:r>
      <w:r>
        <w:rPr>
          <w:rFonts w:ascii="Garamond" w:hAnsi="Garamond" w:cs="Times New Roman"/>
          <w:szCs w:val="24"/>
          <w:lang w:val="en-GB"/>
        </w:rPr>
        <w:t>:</w:t>
      </w:r>
      <w:r w:rsidRPr="00D10584">
        <w:rPr>
          <w:rStyle w:val="Appelnotedebasdep"/>
          <w:rFonts w:ascii="Garamond" w:hAnsi="Garamond"/>
          <w:szCs w:val="24"/>
          <w:lang w:val="en-GB"/>
        </w:rPr>
        <w:footnoteReference w:id="44"/>
      </w:r>
      <w:r w:rsidRPr="0082019B">
        <w:rPr>
          <w:rFonts w:ascii="Garamond" w:hAnsi="Garamond" w:cs="Times New Roman"/>
          <w:szCs w:val="24"/>
          <w:lang w:val="en-GB"/>
        </w:rPr>
        <w:t xml:space="preserve"> so far Spain was ordered to pay more than EUR 1.2 billion in compensation and is still facing ECT claims for more than EUR 3 billion</w:t>
      </w:r>
      <w:r>
        <w:rPr>
          <w:rFonts w:ascii="Garamond" w:hAnsi="Garamond" w:cs="Times New Roman"/>
          <w:szCs w:val="24"/>
          <w:lang w:val="en-GB"/>
        </w:rPr>
        <w:t>,</w:t>
      </w:r>
      <w:r w:rsidRPr="00D10584">
        <w:rPr>
          <w:rStyle w:val="Appelnotedebasdep"/>
          <w:rFonts w:ascii="Garamond" w:hAnsi="Garamond"/>
          <w:szCs w:val="24"/>
          <w:lang w:val="en-GB"/>
        </w:rPr>
        <w:footnoteReference w:id="45"/>
      </w:r>
      <w:r w:rsidRPr="0082019B">
        <w:rPr>
          <w:rFonts w:ascii="Garamond" w:hAnsi="Garamond" w:cs="Times New Roman"/>
          <w:szCs w:val="24"/>
          <w:lang w:val="en-GB"/>
        </w:rPr>
        <w:t xml:space="preserve"> even though most tribunals considered its reform was reasonable and legitimate.</w:t>
      </w:r>
    </w:p>
    <w:p w14:paraId="02D5EF0F" w14:textId="77777777" w:rsidR="008D4DEB" w:rsidRPr="008D4DEB" w:rsidRDefault="008D4DEB" w:rsidP="008D4DEB">
      <w:pPr>
        <w:pStyle w:val="Titre4"/>
        <w:spacing w:line="240" w:lineRule="auto"/>
        <w:ind w:left="709"/>
        <w:rPr>
          <w:rFonts w:ascii="Garamond" w:hAnsi="Garamond"/>
          <w:color w:val="002060"/>
          <w:lang w:val="en-US"/>
        </w:rPr>
      </w:pPr>
      <w:r w:rsidRPr="008D4DEB">
        <w:rPr>
          <w:rFonts w:ascii="Garamond" w:hAnsi="Garamond"/>
          <w:color w:val="002060"/>
          <w:lang w:val="en-US"/>
        </w:rPr>
        <w:t xml:space="preserve">The resulting chilling effect of the ECT on the energy transition </w:t>
      </w:r>
    </w:p>
    <w:p w14:paraId="6440B13E" w14:textId="77777777" w:rsidR="008D4DEB" w:rsidRPr="00F94F4E" w:rsidRDefault="008D4DEB">
      <w:pPr>
        <w:pStyle w:val="Paragraphedeliste"/>
        <w:numPr>
          <w:ilvl w:val="0"/>
          <w:numId w:val="7"/>
        </w:numPr>
        <w:spacing w:beforeLines="60" w:before="144" w:afterLines="60" w:after="144" w:line="240" w:lineRule="auto"/>
        <w:contextualSpacing w:val="0"/>
        <w:jc w:val="both"/>
        <w:rPr>
          <w:rFonts w:ascii="Garamond" w:hAnsi="Garamond" w:cs="Times New Roman"/>
          <w:szCs w:val="24"/>
          <w:lang w:val="en-GB"/>
        </w:rPr>
      </w:pPr>
      <w:bookmarkStart w:id="23" w:name="_Ref96076125"/>
      <w:bookmarkStart w:id="24" w:name="_Hlk102732853"/>
      <w:r w:rsidRPr="00F94F4E">
        <w:rPr>
          <w:rFonts w:ascii="Garamond" w:hAnsi="Garamond" w:cs="Times New Roman"/>
          <w:szCs w:val="24"/>
          <w:lang w:val="en-GB"/>
        </w:rPr>
        <w:t>Against this background, threats of ISDS claims are likely to act as a strong deterrent for the Respondent States and other ECT Contracting Parties to rapidly engage in the energy transition, thus increasing the risks of “regulatory chill”</w:t>
      </w:r>
      <w:bookmarkEnd w:id="23"/>
      <w:r w:rsidRPr="00F94F4E">
        <w:rPr>
          <w:rFonts w:ascii="Garamond" w:hAnsi="Garamond" w:cs="Times New Roman"/>
          <w:szCs w:val="24"/>
          <w:lang w:val="en-GB"/>
        </w:rPr>
        <w:t>.</w:t>
      </w:r>
      <w:r w:rsidRPr="00F94F4E">
        <w:rPr>
          <w:rStyle w:val="Appelnotedebasdep"/>
          <w:rFonts w:ascii="Garamond" w:hAnsi="Garamond" w:cs="Times New Roman"/>
          <w:szCs w:val="24"/>
          <w:lang w:val="en-GB"/>
        </w:rPr>
        <w:footnoteReference w:id="46"/>
      </w:r>
      <w:bookmarkStart w:id="25" w:name="_Hlk102574218"/>
      <w:r w:rsidRPr="00F94F4E">
        <w:rPr>
          <w:rFonts w:ascii="Garamond" w:hAnsi="Garamond" w:cs="Times New Roman"/>
          <w:szCs w:val="24"/>
          <w:lang w:val="en-GB"/>
        </w:rPr>
        <w:t xml:space="preserve"> The regulatory chill refers to the effect that initiating or threatening ISDS proceedings can have upon States in </w:t>
      </w:r>
      <w:bookmarkStart w:id="26" w:name="_Hlk106364513"/>
      <w:r w:rsidRPr="00F94F4E">
        <w:rPr>
          <w:rFonts w:ascii="Garamond" w:hAnsi="Garamond" w:cs="Times New Roman"/>
          <w:szCs w:val="24"/>
          <w:lang w:val="en-GB"/>
        </w:rPr>
        <w:t xml:space="preserve">scaling down, delaying or refraining from adopting public interest regulation </w:t>
      </w:r>
      <w:bookmarkEnd w:id="26"/>
      <w:r w:rsidRPr="00F94F4E">
        <w:rPr>
          <w:rFonts w:ascii="Garamond" w:hAnsi="Garamond" w:cs="Times New Roman"/>
          <w:szCs w:val="24"/>
          <w:lang w:val="en-GB"/>
        </w:rPr>
        <w:t xml:space="preserve">to avoid the cost of compensation and </w:t>
      </w:r>
      <w:r w:rsidRPr="00F94F4E">
        <w:rPr>
          <w:rFonts w:ascii="Garamond" w:hAnsi="Garamond" w:cs="Times New Roman"/>
          <w:szCs w:val="24"/>
          <w:lang w:val="en-GB"/>
        </w:rPr>
        <w:lastRenderedPageBreak/>
        <w:t>litigation. As set out in the Summary Note on Regulatory chill, this phenomenon has been explicitly acknowledged by governments, international bodies, academics and prominent arbitration practitioners. Notably, the IPCC has recognised that investment treaties, including the ECT, allow fossil fuel companies “to block national legislation aimed at phasing out the use of their assets”.</w:t>
      </w:r>
      <w:bookmarkEnd w:id="25"/>
      <w:r w:rsidRPr="00F94F4E">
        <w:rPr>
          <w:rFonts w:ascii="Garamond" w:hAnsi="Garamond"/>
          <w:szCs w:val="24"/>
          <w:vertAlign w:val="superscript"/>
          <w:lang w:val="en-GB"/>
        </w:rPr>
        <w:footnoteReference w:id="47"/>
      </w:r>
    </w:p>
    <w:bookmarkEnd w:id="24"/>
    <w:p w14:paraId="20DC8A78" w14:textId="77777777" w:rsidR="008D4DEB" w:rsidRPr="00F94F4E" w:rsidRDefault="008D4DEB">
      <w:pPr>
        <w:pStyle w:val="Paragraphedeliste"/>
        <w:numPr>
          <w:ilvl w:val="0"/>
          <w:numId w:val="7"/>
        </w:numPr>
        <w:spacing w:beforeLines="60" w:before="144" w:afterLines="60" w:after="144" w:line="240" w:lineRule="auto"/>
        <w:ind w:left="714" w:hanging="357"/>
        <w:contextualSpacing w:val="0"/>
        <w:jc w:val="both"/>
        <w:rPr>
          <w:rFonts w:ascii="Garamond" w:hAnsi="Garamond"/>
          <w:szCs w:val="24"/>
          <w:lang w:val="en-GB"/>
        </w:rPr>
      </w:pPr>
      <w:r w:rsidRPr="00F94F4E">
        <w:rPr>
          <w:rFonts w:ascii="Garamond" w:hAnsi="Garamond" w:cs="Times New Roman"/>
          <w:szCs w:val="24"/>
          <w:lang w:val="en-GB"/>
        </w:rPr>
        <w:t>Specific instances of regulatory chill in relation to energy policy have been observed, including in Europe. In particular, France is believed to have downgraded its plans to phase out fossil fuel extraction following threats of a billion-dollar ECT arbitration from Vermilion (Canada).</w:t>
      </w:r>
      <w:r w:rsidRPr="00F94F4E">
        <w:rPr>
          <w:rStyle w:val="Appelnotedebasdep"/>
          <w:rFonts w:ascii="Garamond" w:hAnsi="Garamond" w:cs="Times New Roman"/>
          <w:szCs w:val="24"/>
          <w:lang w:val="en-GB"/>
        </w:rPr>
        <w:footnoteReference w:id="48"/>
      </w:r>
      <w:r w:rsidRPr="00F94F4E">
        <w:rPr>
          <w:rFonts w:ascii="Garamond" w:hAnsi="Garamond" w:cs="Times New Roman"/>
          <w:szCs w:val="24"/>
          <w:lang w:val="en-GB"/>
        </w:rPr>
        <w:t xml:space="preserve"> Other examples of officials recognising the weight of ECT risks in their decision-making (e.g. Denmark, Germany, the Netherlands) are addressed in detail in the Summary Note on Regulatory Chill;</w:t>
      </w:r>
      <w:r w:rsidRPr="00F94F4E">
        <w:rPr>
          <w:rStyle w:val="Appelnotedebasdep"/>
          <w:rFonts w:ascii="Garamond" w:hAnsi="Garamond" w:cs="Times New Roman"/>
          <w:szCs w:val="24"/>
          <w:lang w:val="en-GB"/>
        </w:rPr>
        <w:footnoteReference w:id="49"/>
      </w:r>
      <w:r w:rsidRPr="00F94F4E">
        <w:rPr>
          <w:rFonts w:ascii="Garamond" w:hAnsi="Garamond" w:cs="Times New Roman"/>
          <w:szCs w:val="24"/>
          <w:lang w:val="en-GB"/>
        </w:rPr>
        <w:t xml:space="preserve"> in-depth </w:t>
      </w:r>
      <w:r w:rsidRPr="00F94F4E">
        <w:rPr>
          <w:rFonts w:ascii="Garamond" w:hAnsi="Garamond"/>
          <w:szCs w:val="24"/>
          <w:lang w:val="en-GB"/>
        </w:rPr>
        <w:t>case studies</w:t>
      </w:r>
      <w:r w:rsidRPr="00F94F4E">
        <w:rPr>
          <w:rFonts w:ascii="Garamond" w:hAnsi="Garamond" w:cs="Times New Roman"/>
          <w:szCs w:val="24"/>
          <w:lang w:val="en-GB"/>
        </w:rPr>
        <w:t xml:space="preserve"> in other sectors have also proven that public interest measures were delayed due to arbitration proceedings against other States</w:t>
      </w:r>
      <w:r w:rsidRPr="00F94F4E">
        <w:rPr>
          <w:rFonts w:ascii="Garamond" w:hAnsi="Garamond"/>
          <w:szCs w:val="24"/>
          <w:lang w:val="en-GB"/>
        </w:rPr>
        <w:t>.</w:t>
      </w:r>
      <w:r w:rsidRPr="00F94F4E">
        <w:rPr>
          <w:rStyle w:val="Appelnotedebasdep"/>
          <w:rFonts w:ascii="Garamond" w:hAnsi="Garamond" w:cs="Times New Roman"/>
          <w:szCs w:val="24"/>
          <w:lang w:val="en-GB"/>
        </w:rPr>
        <w:footnoteReference w:id="50"/>
      </w:r>
      <w:r w:rsidRPr="00F94F4E">
        <w:rPr>
          <w:rFonts w:ascii="Garamond" w:hAnsi="Garamond" w:cs="Times New Roman"/>
          <w:szCs w:val="24"/>
          <w:lang w:val="en-GB"/>
        </w:rPr>
        <w:t xml:space="preserve"> </w:t>
      </w:r>
      <w:r w:rsidRPr="00F94F4E">
        <w:rPr>
          <w:rFonts w:ascii="Garamond" w:hAnsi="Garamond"/>
          <w:szCs w:val="24"/>
          <w:lang w:val="en-GB"/>
        </w:rPr>
        <w:t>ECT claims and threats thereof are often confidential and governments’ motives for adopting milder measures are undisclosed. Therefore, the scale of the chilling effect caused by the ECT cannot be accurately identified and is likely to be underestimated.</w:t>
      </w:r>
    </w:p>
    <w:p w14:paraId="47B8DA23" w14:textId="6BFD41BE" w:rsidR="008D4DEB" w:rsidRPr="008D4DEB" w:rsidRDefault="00813D7F" w:rsidP="00813D7F">
      <w:pPr>
        <w:pStyle w:val="Titre4"/>
        <w:numPr>
          <w:ilvl w:val="0"/>
          <w:numId w:val="0"/>
        </w:numPr>
        <w:spacing w:line="240" w:lineRule="auto"/>
        <w:rPr>
          <w:rFonts w:ascii="Garamond" w:hAnsi="Garamond"/>
          <w:color w:val="002060"/>
          <w:lang w:val="en-US"/>
        </w:rPr>
      </w:pPr>
      <w:r w:rsidRPr="008D4DEB">
        <w:rPr>
          <w:rFonts w:ascii="Garamond" w:hAnsi="Garamond"/>
          <w:color w:val="002060"/>
          <w:lang w:val="en-US"/>
        </w:rPr>
        <w:t xml:space="preserve">THE INADEQUACY OF THE MODERNISATION OF THE ECT </w:t>
      </w:r>
    </w:p>
    <w:p w14:paraId="19954191" w14:textId="77777777" w:rsidR="008D4DEB" w:rsidRDefault="008D4DEB">
      <w:pPr>
        <w:pStyle w:val="Paragraphedeliste"/>
        <w:numPr>
          <w:ilvl w:val="0"/>
          <w:numId w:val="7"/>
        </w:numPr>
        <w:spacing w:after="240" w:line="240" w:lineRule="auto"/>
        <w:contextualSpacing w:val="0"/>
        <w:jc w:val="both"/>
        <w:rPr>
          <w:rFonts w:ascii="Garamond" w:hAnsi="Garamond" w:cs="Times New Roman"/>
          <w:szCs w:val="24"/>
          <w:lang w:val="en-GB"/>
        </w:rPr>
      </w:pPr>
      <w:r w:rsidRPr="00AA6A9F">
        <w:rPr>
          <w:rFonts w:ascii="Garamond" w:hAnsi="Garamond" w:cs="Times New Roman"/>
          <w:bCs/>
          <w:szCs w:val="24"/>
          <w:lang w:val="en-GB"/>
        </w:rPr>
        <w:t>In 2017, the ECT’s Contracting Parties initiated discussions on the potential modernisation of the ECT</w:t>
      </w:r>
      <w:r w:rsidRPr="00AA6A9F">
        <w:rPr>
          <w:rFonts w:ascii="Garamond" w:hAnsi="Garamond" w:cs="Times New Roman"/>
          <w:szCs w:val="24"/>
          <w:lang w:val="en-GB"/>
        </w:rPr>
        <w:t xml:space="preserve">. Negotiations started in July 2020 </w:t>
      </w:r>
      <w:r w:rsidRPr="00AA6A9F">
        <w:rPr>
          <w:rFonts w:ascii="Garamond" w:hAnsi="Garamond"/>
          <w:szCs w:val="24"/>
          <w:lang w:val="en-GB"/>
        </w:rPr>
        <w:t xml:space="preserve">and an agreement in principle is expected to be reached </w:t>
      </w:r>
      <w:r>
        <w:rPr>
          <w:rFonts w:ascii="Garamond" w:hAnsi="Garamond"/>
          <w:szCs w:val="24"/>
          <w:lang w:val="en-GB"/>
        </w:rPr>
        <w:t xml:space="preserve">on </w:t>
      </w:r>
      <w:r w:rsidRPr="00AA6A9F">
        <w:rPr>
          <w:rFonts w:ascii="Garamond" w:hAnsi="Garamond"/>
          <w:szCs w:val="24"/>
          <w:lang w:val="en-GB"/>
        </w:rPr>
        <w:t>24 June 2022</w:t>
      </w:r>
      <w:r>
        <w:rPr>
          <w:rFonts w:ascii="Garamond" w:hAnsi="Garamond"/>
          <w:szCs w:val="24"/>
          <w:lang w:val="en-GB"/>
        </w:rPr>
        <w:t>.</w:t>
      </w:r>
      <w:r w:rsidRPr="00AA6A9F">
        <w:rPr>
          <w:rFonts w:ascii="Garamond" w:hAnsi="Garamond"/>
          <w:szCs w:val="24"/>
          <w:vertAlign w:val="superscript"/>
          <w:lang w:val="en-GB"/>
        </w:rPr>
        <w:footnoteReference w:id="51"/>
      </w:r>
      <w:r>
        <w:rPr>
          <w:rFonts w:ascii="Garamond" w:hAnsi="Garamond"/>
          <w:szCs w:val="24"/>
          <w:lang w:val="en-GB"/>
        </w:rPr>
        <w:t xml:space="preserve"> </w:t>
      </w:r>
      <w:r w:rsidRPr="00AA6A9F">
        <w:rPr>
          <w:rFonts w:ascii="Garamond" w:hAnsi="Garamond" w:cs="Times New Roman"/>
          <w:szCs w:val="24"/>
          <w:lang w:val="en-GB"/>
        </w:rPr>
        <w:t xml:space="preserve">Such modernisation process is inadequate </w:t>
      </w:r>
      <w:r>
        <w:rPr>
          <w:rFonts w:ascii="Garamond" w:hAnsi="Garamond"/>
          <w:szCs w:val="24"/>
          <w:lang w:val="en-GB"/>
        </w:rPr>
        <w:t xml:space="preserve">and insufficient </w:t>
      </w:r>
      <w:r w:rsidRPr="00AA6A9F">
        <w:rPr>
          <w:rFonts w:ascii="Garamond" w:hAnsi="Garamond" w:cs="Times New Roman"/>
          <w:szCs w:val="24"/>
          <w:lang w:val="en-GB"/>
        </w:rPr>
        <w:t>for the following reasons:</w:t>
      </w:r>
      <w:r>
        <w:rPr>
          <w:rFonts w:ascii="Garamond" w:hAnsi="Garamond" w:cs="Times New Roman"/>
          <w:szCs w:val="24"/>
          <w:lang w:val="en-GB"/>
        </w:rPr>
        <w:t xml:space="preserve"> </w:t>
      </w:r>
    </w:p>
    <w:p w14:paraId="0E010AC8" w14:textId="77777777" w:rsidR="008D4DEB" w:rsidRDefault="008D4DEB">
      <w:pPr>
        <w:pStyle w:val="Paragraphedeliste"/>
        <w:numPr>
          <w:ilvl w:val="0"/>
          <w:numId w:val="12"/>
        </w:numPr>
        <w:spacing w:after="240" w:line="240" w:lineRule="auto"/>
        <w:contextualSpacing w:val="0"/>
        <w:jc w:val="both"/>
        <w:rPr>
          <w:rFonts w:ascii="Garamond" w:hAnsi="Garamond"/>
          <w:szCs w:val="24"/>
          <w:lang w:val="en-GB"/>
        </w:rPr>
      </w:pPr>
      <w:r>
        <w:rPr>
          <w:rFonts w:ascii="Garamond" w:hAnsi="Garamond" w:cs="Times New Roman"/>
          <w:szCs w:val="24"/>
          <w:lang w:val="en-GB"/>
        </w:rPr>
        <w:t>t</w:t>
      </w:r>
      <w:r w:rsidRPr="00A37C98">
        <w:rPr>
          <w:rFonts w:ascii="Garamond" w:hAnsi="Garamond"/>
          <w:szCs w:val="24"/>
          <w:lang w:val="en-GB"/>
        </w:rPr>
        <w:t xml:space="preserve">he EU </w:t>
      </w:r>
      <w:r w:rsidRPr="00A37C98">
        <w:rPr>
          <w:rFonts w:ascii="Garamond" w:hAnsi="Garamond" w:cs="Times New Roman"/>
          <w:szCs w:val="24"/>
          <w:lang w:val="en-GB"/>
        </w:rPr>
        <w:t xml:space="preserve">proposal provides that existing investments in fossil fuel as well as </w:t>
      </w:r>
      <w:r>
        <w:rPr>
          <w:rFonts w:ascii="Garamond" w:hAnsi="Garamond" w:cs="Times New Roman"/>
          <w:szCs w:val="24"/>
          <w:lang w:val="en-GB"/>
        </w:rPr>
        <w:t xml:space="preserve">some </w:t>
      </w:r>
      <w:r w:rsidRPr="00A37C98">
        <w:rPr>
          <w:rFonts w:ascii="Garamond" w:hAnsi="Garamond" w:cs="Times New Roman"/>
          <w:szCs w:val="24"/>
          <w:lang w:val="en-GB"/>
        </w:rPr>
        <w:t xml:space="preserve">new </w:t>
      </w:r>
      <w:r w:rsidRPr="00A37C98">
        <w:rPr>
          <w:rFonts w:ascii="Garamond" w:hAnsi="Garamond"/>
          <w:szCs w:val="24"/>
          <w:lang w:val="en-GB"/>
        </w:rPr>
        <w:t>investments in some gas power plants, infrastructures and pipelines</w:t>
      </w:r>
      <w:r w:rsidRPr="00A37C98">
        <w:rPr>
          <w:rFonts w:ascii="Garamond" w:hAnsi="Garamond" w:cs="Times New Roman"/>
          <w:szCs w:val="24"/>
          <w:lang w:val="en-GB"/>
        </w:rPr>
        <w:t xml:space="preserve"> would remain protected 10 more years after the entry into force of the modernised agreement (until 2040 at the latest)</w:t>
      </w:r>
      <w:r>
        <w:rPr>
          <w:rFonts w:ascii="Garamond" w:hAnsi="Garamond"/>
          <w:szCs w:val="24"/>
          <w:lang w:val="en-GB"/>
        </w:rPr>
        <w:t>;</w:t>
      </w:r>
      <w:r w:rsidRPr="00C058AE">
        <w:rPr>
          <w:vertAlign w:val="superscript"/>
          <w:lang w:val="en-GB"/>
        </w:rPr>
        <w:footnoteReference w:id="52"/>
      </w:r>
      <w:r>
        <w:rPr>
          <w:rFonts w:ascii="Garamond" w:hAnsi="Garamond"/>
          <w:szCs w:val="24"/>
          <w:lang w:val="en-GB"/>
        </w:rPr>
        <w:t xml:space="preserve"> </w:t>
      </w:r>
    </w:p>
    <w:p w14:paraId="5907497C" w14:textId="77777777" w:rsidR="008D4DEB" w:rsidRPr="00A9424E" w:rsidRDefault="008D4DEB">
      <w:pPr>
        <w:pStyle w:val="Paragraphedeliste"/>
        <w:numPr>
          <w:ilvl w:val="0"/>
          <w:numId w:val="12"/>
        </w:numPr>
        <w:spacing w:after="240" w:line="240" w:lineRule="auto"/>
        <w:contextualSpacing w:val="0"/>
        <w:jc w:val="both"/>
        <w:rPr>
          <w:rFonts w:ascii="Garamond" w:hAnsi="Garamond" w:cs="Times New Roman"/>
          <w:szCs w:val="24"/>
          <w:lang w:val="en-GB"/>
        </w:rPr>
      </w:pPr>
      <w:r w:rsidRPr="00A9424E">
        <w:rPr>
          <w:rFonts w:ascii="Garamond" w:hAnsi="Garamond" w:cs="Times New Roman"/>
          <w:szCs w:val="24"/>
          <w:lang w:val="en-GB"/>
        </w:rPr>
        <w:t>this “gradual exclusion of investment protection for fossil fuels” will at best apply only vis-à-vis States opting for it through a so-called “flexibility mechanism”;</w:t>
      </w:r>
      <w:r w:rsidRPr="00A9424E">
        <w:rPr>
          <w:rStyle w:val="Appelnotedebasdep"/>
          <w:rFonts w:ascii="Garamond" w:hAnsi="Garamond" w:cs="Times New Roman"/>
          <w:szCs w:val="24"/>
          <w:lang w:val="en-GB"/>
        </w:rPr>
        <w:footnoteReference w:id="53"/>
      </w:r>
    </w:p>
    <w:p w14:paraId="079B080C" w14:textId="77777777" w:rsidR="008D4DEB" w:rsidRDefault="008D4DEB">
      <w:pPr>
        <w:pStyle w:val="Paragraphedeliste"/>
        <w:numPr>
          <w:ilvl w:val="0"/>
          <w:numId w:val="12"/>
        </w:numPr>
        <w:spacing w:after="240" w:line="240" w:lineRule="auto"/>
        <w:contextualSpacing w:val="0"/>
        <w:jc w:val="both"/>
        <w:rPr>
          <w:rFonts w:ascii="Garamond" w:hAnsi="Garamond" w:cs="Times New Roman"/>
          <w:szCs w:val="24"/>
          <w:lang w:val="en-GB"/>
        </w:rPr>
      </w:pPr>
      <w:r>
        <w:rPr>
          <w:rFonts w:ascii="Garamond" w:hAnsi="Garamond" w:cs="Times New Roman"/>
          <w:szCs w:val="24"/>
          <w:lang w:val="en-GB"/>
        </w:rPr>
        <w:t>t</w:t>
      </w:r>
      <w:r w:rsidRPr="00A37C98">
        <w:rPr>
          <w:rFonts w:ascii="Garamond" w:hAnsi="Garamond" w:cs="Times New Roman"/>
          <w:szCs w:val="24"/>
          <w:lang w:val="en-GB"/>
        </w:rPr>
        <w:t xml:space="preserve">he ECT’s ISDS mechanism is not included in </w:t>
      </w:r>
      <w:r>
        <w:rPr>
          <w:rFonts w:ascii="Garamond" w:hAnsi="Garamond" w:cs="Times New Roman"/>
          <w:szCs w:val="24"/>
          <w:lang w:val="en-GB"/>
        </w:rPr>
        <w:t>negotiations</w:t>
      </w:r>
      <w:r w:rsidRPr="00A37C98">
        <w:rPr>
          <w:rFonts w:ascii="Garamond" w:hAnsi="Garamond" w:cs="Times New Roman"/>
          <w:szCs w:val="24"/>
          <w:lang w:val="en-GB"/>
        </w:rPr>
        <w:t>;</w:t>
      </w:r>
      <w:r>
        <w:rPr>
          <w:rFonts w:ascii="Garamond" w:hAnsi="Garamond" w:cs="Times New Roman"/>
          <w:szCs w:val="24"/>
          <w:lang w:val="en-GB"/>
        </w:rPr>
        <w:t xml:space="preserve"> </w:t>
      </w:r>
    </w:p>
    <w:p w14:paraId="61905A59" w14:textId="77777777" w:rsidR="008D4DEB" w:rsidRPr="00A37C98" w:rsidRDefault="008D4DEB">
      <w:pPr>
        <w:pStyle w:val="Paragraphedeliste"/>
        <w:numPr>
          <w:ilvl w:val="0"/>
          <w:numId w:val="12"/>
        </w:numPr>
        <w:spacing w:after="240" w:line="240" w:lineRule="auto"/>
        <w:contextualSpacing w:val="0"/>
        <w:jc w:val="both"/>
        <w:rPr>
          <w:rFonts w:ascii="Garamond" w:hAnsi="Garamond" w:cs="Times New Roman"/>
          <w:szCs w:val="24"/>
          <w:lang w:val="en-GB"/>
        </w:rPr>
      </w:pPr>
      <w:r>
        <w:rPr>
          <w:rFonts w:ascii="Garamond" w:hAnsi="Garamond" w:cs="Times New Roman"/>
          <w:szCs w:val="24"/>
          <w:lang w:val="en-GB"/>
        </w:rPr>
        <w:t>n</w:t>
      </w:r>
      <w:r w:rsidRPr="00A37C98">
        <w:rPr>
          <w:rFonts w:ascii="Garamond" w:hAnsi="Garamond" w:cs="Times New Roman"/>
          <w:szCs w:val="24"/>
          <w:lang w:val="en-GB"/>
        </w:rPr>
        <w:t xml:space="preserve">o </w:t>
      </w:r>
      <w:r w:rsidRPr="00A37C98">
        <w:rPr>
          <w:rFonts w:ascii="Garamond" w:hAnsi="Garamond"/>
          <w:szCs w:val="24"/>
          <w:lang w:val="en-GB"/>
        </w:rPr>
        <w:t>appropriate assessments regarding the proposed modernisation’s compatibility with the LTTG of 1,5°C seem to have been conducted, let alone provided to the public.</w:t>
      </w:r>
      <w:r w:rsidRPr="00905D95">
        <w:rPr>
          <w:rStyle w:val="Appelnotedebasdep"/>
          <w:rFonts w:ascii="Garamond" w:hAnsi="Garamond"/>
          <w:szCs w:val="24"/>
          <w:lang w:val="en-GB"/>
        </w:rPr>
        <w:footnoteReference w:id="54"/>
      </w:r>
      <w:r w:rsidRPr="00A37C98">
        <w:rPr>
          <w:rFonts w:ascii="Garamond" w:hAnsi="Garamond"/>
          <w:szCs w:val="24"/>
          <w:lang w:val="en-GB"/>
        </w:rPr>
        <w:t xml:space="preserve"> </w:t>
      </w:r>
    </w:p>
    <w:p w14:paraId="79E6E5B1" w14:textId="77777777" w:rsidR="008D4DEB" w:rsidRPr="005A7FBC" w:rsidRDefault="008D4DEB" w:rsidP="00813D7F">
      <w:pPr>
        <w:keepNext/>
        <w:spacing w:after="240"/>
        <w:jc w:val="both"/>
        <w:rPr>
          <w:rFonts w:ascii="Garamond" w:hAnsi="Garamond"/>
          <w:b/>
          <w:color w:val="002060"/>
          <w:lang w:val="en-GB"/>
        </w:rPr>
      </w:pPr>
      <w:r w:rsidRPr="005A7FBC">
        <w:rPr>
          <w:rFonts w:ascii="Garamond" w:hAnsi="Garamond"/>
          <w:b/>
          <w:color w:val="002060"/>
          <w:lang w:val="en-GB"/>
        </w:rPr>
        <w:t>URGENCY OF THE CASE</w:t>
      </w:r>
    </w:p>
    <w:p w14:paraId="5BE7C96F" w14:textId="47C3A70F" w:rsidR="00813D7F" w:rsidRPr="00813D7F" w:rsidRDefault="008D4DEB" w:rsidP="00813D7F">
      <w:pPr>
        <w:pStyle w:val="Paragraphedeliste"/>
        <w:keepNext/>
        <w:numPr>
          <w:ilvl w:val="0"/>
          <w:numId w:val="7"/>
        </w:numPr>
        <w:spacing w:after="240" w:line="240" w:lineRule="auto"/>
        <w:contextualSpacing w:val="0"/>
        <w:jc w:val="both"/>
        <w:rPr>
          <w:rFonts w:ascii="Garamond" w:hAnsi="Garamond"/>
          <w:szCs w:val="24"/>
          <w:lang w:val="en-GB"/>
        </w:rPr>
      </w:pPr>
      <w:bookmarkStart w:id="29" w:name="_Hlk102753696"/>
      <w:r w:rsidRPr="00A96A34">
        <w:rPr>
          <w:rFonts w:ascii="Garamond" w:hAnsi="Garamond" w:cs="Times New Roman"/>
          <w:szCs w:val="24"/>
          <w:lang w:val="en-GB"/>
        </w:rPr>
        <w:t>There</w:t>
      </w:r>
      <w:r w:rsidRPr="00A96A34">
        <w:rPr>
          <w:rFonts w:ascii="Garamond" w:hAnsi="Garamond"/>
          <w:szCs w:val="24"/>
          <w:lang w:val="en-GB"/>
        </w:rPr>
        <w:t xml:space="preserve"> is scientific consensus on the pressing need to take urgent measures to drastically reduce GHG emissions. The IPCC has stressed that “</w:t>
      </w:r>
      <w:r w:rsidRPr="00A96A34">
        <w:rPr>
          <w:rFonts w:ascii="Garamond" w:hAnsi="Garamond"/>
          <w:i/>
          <w:iCs/>
          <w:szCs w:val="24"/>
          <w:lang w:val="en-GB"/>
        </w:rPr>
        <w:t xml:space="preserve">[a]ny further delay in concerted anticipatory global action on adaptation and mitigation will miss a brief and rapidly closing window of opportunity to secure a liveable and </w:t>
      </w:r>
      <w:r w:rsidRPr="00A96A34">
        <w:rPr>
          <w:rFonts w:ascii="Garamond" w:hAnsi="Garamond"/>
          <w:i/>
          <w:iCs/>
          <w:szCs w:val="24"/>
          <w:lang w:val="en-GB"/>
        </w:rPr>
        <w:lastRenderedPageBreak/>
        <w:t>sustainable future for all</w:t>
      </w:r>
      <w:r w:rsidRPr="00A96A34">
        <w:rPr>
          <w:rFonts w:ascii="Garamond" w:hAnsi="Garamond"/>
          <w:szCs w:val="24"/>
          <w:lang w:val="en-GB"/>
        </w:rPr>
        <w:t>”.</w:t>
      </w:r>
      <w:r w:rsidRPr="00A96A34">
        <w:rPr>
          <w:rFonts w:ascii="Garamond" w:hAnsi="Garamond"/>
          <w:szCs w:val="24"/>
          <w:vertAlign w:val="superscript"/>
        </w:rPr>
        <w:footnoteReference w:id="55"/>
      </w:r>
      <w:r w:rsidRPr="00A96A34">
        <w:rPr>
          <w:rFonts w:ascii="Garamond" w:hAnsi="Garamond"/>
          <w:szCs w:val="24"/>
          <w:lang w:val="en-GB"/>
        </w:rPr>
        <w:t xml:space="preserve"> This requires urgent phase out from fossil fuel; continued investments in fossil fuel infrastructure will lock-in emissions.</w:t>
      </w:r>
      <w:r w:rsidRPr="00A96A34">
        <w:rPr>
          <w:rFonts w:ascii="Garamond" w:hAnsi="Garamond"/>
          <w:szCs w:val="24"/>
          <w:vertAlign w:val="superscript"/>
        </w:rPr>
        <w:footnoteReference w:id="56"/>
      </w:r>
      <w:r w:rsidRPr="00A96A34">
        <w:rPr>
          <w:rFonts w:ascii="Garamond" w:hAnsi="Garamond"/>
          <w:szCs w:val="24"/>
          <w:lang w:val="en-GB"/>
        </w:rPr>
        <w:t xml:space="preserve"> There is thus little time left to avert uncontrollable effects of climate change. Postponing mitigation measures will only amplify the severity of climate impacts to the detriment of human rights.</w:t>
      </w:r>
      <w:bookmarkEnd w:id="29"/>
    </w:p>
    <w:p w14:paraId="5AD80E5B" w14:textId="372EC4E8" w:rsidR="008D4DEB" w:rsidRPr="00813D7F" w:rsidRDefault="00813D7F" w:rsidP="00813D7F">
      <w:pPr>
        <w:spacing w:before="360" w:after="240"/>
        <w:jc w:val="both"/>
        <w:rPr>
          <w:rFonts w:ascii="Garamond" w:hAnsi="Garamond"/>
          <w:b/>
          <w:i/>
          <w:iCs/>
          <w:u w:val="single"/>
          <w:lang w:val="en-GB"/>
        </w:rPr>
      </w:pPr>
      <w:r w:rsidRPr="00813D7F">
        <w:rPr>
          <w:rFonts w:ascii="Garamond" w:hAnsi="Garamond" w:cstheme="minorHAnsi"/>
          <w:b/>
          <w:bCs/>
          <w:i/>
          <w:iCs/>
          <w:u w:val="single"/>
          <w:lang w:val="en-US"/>
        </w:rPr>
        <w:t>STATEMENT OF ALLEGED VIOLATION(S) OF THE CONVENTION AND/OR PROTOCOLS AND RELEVANT ARGUMENTS</w:t>
      </w:r>
    </w:p>
    <w:p w14:paraId="2DAB9FDD" w14:textId="77777777" w:rsidR="008D4DEB" w:rsidRPr="00905D95" w:rsidRDefault="008D4DEB">
      <w:pPr>
        <w:pStyle w:val="Paragraphedeliste"/>
        <w:numPr>
          <w:ilvl w:val="0"/>
          <w:numId w:val="7"/>
        </w:numPr>
        <w:spacing w:after="240" w:line="240" w:lineRule="auto"/>
        <w:contextualSpacing w:val="0"/>
        <w:jc w:val="both"/>
        <w:rPr>
          <w:rFonts w:ascii="Garamond" w:hAnsi="Garamond"/>
          <w:szCs w:val="24"/>
          <w:lang w:val="en-GB"/>
        </w:rPr>
      </w:pPr>
      <w:r w:rsidRPr="4ACEA68A">
        <w:rPr>
          <w:rFonts w:ascii="Garamond" w:hAnsi="Garamond"/>
          <w:szCs w:val="24"/>
          <w:lang w:val="en-GB"/>
        </w:rPr>
        <w:t>The ECHR is a “living instrument” and “must be interpreted in the light of present-day conditions” (Demir &amp; Baykara v Turkey [GC], app. no. 34503/97, §§ 85-86), so as to ensure the practical and effective protection of Convention rights.</w:t>
      </w:r>
    </w:p>
    <w:p w14:paraId="2C209CDB" w14:textId="77777777" w:rsidR="008D4DEB" w:rsidRDefault="008D4DEB">
      <w:pPr>
        <w:pStyle w:val="Paragraphedeliste"/>
        <w:numPr>
          <w:ilvl w:val="0"/>
          <w:numId w:val="7"/>
        </w:numPr>
        <w:spacing w:after="240" w:line="240" w:lineRule="auto"/>
        <w:contextualSpacing w:val="0"/>
        <w:jc w:val="both"/>
        <w:rPr>
          <w:rFonts w:ascii="Garamond" w:hAnsi="Garamond"/>
          <w:szCs w:val="24"/>
          <w:lang w:val="en-GB"/>
        </w:rPr>
      </w:pPr>
      <w:r w:rsidRPr="4ACEA68A">
        <w:rPr>
          <w:rFonts w:ascii="Garamond" w:hAnsi="Garamond"/>
          <w:szCs w:val="24"/>
          <w:lang w:val="en-GB"/>
        </w:rPr>
        <w:t>The interpretation of the Convention must also take into account “elements of international law [...], the interpretation of such elements by competent organs, and the practice of European States reflecting their common values” (Neuliger v. Switzerland [GC], app. no. 41615/07, §132). The relevant sources of international law are set out in the Annex.</w:t>
      </w:r>
    </w:p>
    <w:p w14:paraId="7A2E408B" w14:textId="77777777" w:rsidR="008D4DEB" w:rsidRPr="005A7FBC" w:rsidRDefault="008D4DEB" w:rsidP="008D4DEB">
      <w:pPr>
        <w:spacing w:after="240"/>
        <w:jc w:val="both"/>
        <w:rPr>
          <w:rFonts w:ascii="Garamond" w:hAnsi="Garamond"/>
          <w:b/>
          <w:i/>
          <w:color w:val="002060"/>
          <w:lang w:val="en-GB"/>
        </w:rPr>
      </w:pPr>
      <w:r w:rsidRPr="005A7FBC">
        <w:rPr>
          <w:rFonts w:ascii="Garamond" w:hAnsi="Garamond"/>
          <w:b/>
          <w:i/>
          <w:color w:val="002060"/>
          <w:u w:val="single"/>
          <w:lang w:val="en-GB"/>
        </w:rPr>
        <w:t>ARTICLES INVOKED</w:t>
      </w:r>
      <w:r w:rsidRPr="005A7FBC">
        <w:rPr>
          <w:rFonts w:ascii="Garamond" w:hAnsi="Garamond"/>
          <w:b/>
          <w:i/>
          <w:color w:val="002060"/>
          <w:lang w:val="en-GB"/>
        </w:rPr>
        <w:t xml:space="preserve">: </w:t>
      </w:r>
      <w:r w:rsidRPr="005A7FBC">
        <w:rPr>
          <w:rFonts w:ascii="Garamond" w:hAnsi="Garamond"/>
          <w:b/>
          <w:iCs/>
          <w:color w:val="002060"/>
          <w:lang w:val="en-GB"/>
        </w:rPr>
        <w:t>ARTICLES 2 AND 8</w:t>
      </w:r>
    </w:p>
    <w:p w14:paraId="5B6EFD2B" w14:textId="77777777" w:rsidR="008D4DEB" w:rsidRPr="00905D95" w:rsidRDefault="008D4DEB">
      <w:pPr>
        <w:pStyle w:val="Paragraphedeliste"/>
        <w:numPr>
          <w:ilvl w:val="0"/>
          <w:numId w:val="7"/>
        </w:numPr>
        <w:spacing w:after="240" w:line="240" w:lineRule="auto"/>
        <w:contextualSpacing w:val="0"/>
        <w:jc w:val="both"/>
        <w:rPr>
          <w:rFonts w:ascii="Garamond" w:hAnsi="Garamond"/>
          <w:szCs w:val="24"/>
          <w:lang w:val="en-GB"/>
        </w:rPr>
      </w:pPr>
      <w:r w:rsidRPr="4ACEA68A">
        <w:rPr>
          <w:rFonts w:ascii="Garamond" w:hAnsi="Garamond"/>
          <w:szCs w:val="24"/>
          <w:lang w:val="en-GB"/>
        </w:rPr>
        <w:t>In general terms, Articles 2 and 8 are applicable if there is a serious and substantial risk to the enjoyment of the rights they guarantee (Tătar v. Romania, app. no. 67021/01 §§106-107 and Cordella and others v. Italy, app. nos. 54414/13 and 54264/15, §157). They are also applicable to cases in which the risk can materialise in the long term (Taşkin and Others v. Turkey, app. nos. 46117/99, §§107 and 113). The particulars of the thresholds for applicability are set out in the Annex.</w:t>
      </w:r>
    </w:p>
    <w:p w14:paraId="4BF35162" w14:textId="77777777" w:rsidR="008D4DEB" w:rsidRPr="00905D95" w:rsidRDefault="008D4DEB">
      <w:pPr>
        <w:pStyle w:val="Paragraphedeliste"/>
        <w:numPr>
          <w:ilvl w:val="0"/>
          <w:numId w:val="7"/>
        </w:numPr>
        <w:spacing w:after="240" w:line="240" w:lineRule="auto"/>
        <w:contextualSpacing w:val="0"/>
        <w:jc w:val="both"/>
        <w:rPr>
          <w:rFonts w:ascii="Garamond" w:hAnsi="Garamond"/>
          <w:szCs w:val="24"/>
          <w:lang w:val="en-GB"/>
        </w:rPr>
      </w:pPr>
      <w:r w:rsidRPr="4ACEA68A">
        <w:rPr>
          <w:rFonts w:ascii="Garamond" w:hAnsi="Garamond"/>
          <w:szCs w:val="24"/>
          <w:lang w:val="en-GB"/>
        </w:rPr>
        <w:t xml:space="preserve">As set out in detail above, climate change poses a serious and substantial threat to the rights guaranteed by Articles 2 and 8 of the Convention. It materialises in catastrophic threats to human health, including mental health, which are expected to increase in frequency and intensity. </w:t>
      </w:r>
    </w:p>
    <w:p w14:paraId="5085F29E" w14:textId="77777777" w:rsidR="008D4DEB" w:rsidRPr="00905D95" w:rsidRDefault="008D4DEB">
      <w:pPr>
        <w:pStyle w:val="Paragraphedeliste"/>
        <w:numPr>
          <w:ilvl w:val="0"/>
          <w:numId w:val="7"/>
        </w:numPr>
        <w:spacing w:after="240" w:line="240" w:lineRule="auto"/>
        <w:contextualSpacing w:val="0"/>
        <w:jc w:val="both"/>
        <w:rPr>
          <w:rFonts w:ascii="Garamond" w:hAnsi="Garamond"/>
          <w:szCs w:val="24"/>
          <w:lang w:val="en-GB"/>
        </w:rPr>
      </w:pPr>
      <w:r w:rsidRPr="4ACEA68A">
        <w:rPr>
          <w:rFonts w:ascii="Garamond" w:hAnsi="Garamond"/>
          <w:szCs w:val="24"/>
          <w:lang w:val="en-GB"/>
        </w:rPr>
        <w:t>The Applicant has</w:t>
      </w:r>
      <w:r w:rsidRPr="4ACEA68A">
        <w:rPr>
          <w:rFonts w:ascii="Garamond" w:hAnsi="Garamond" w:cs="Times New Roman"/>
          <w:szCs w:val="24"/>
          <w:lang w:val="en-GB"/>
        </w:rPr>
        <w:t xml:space="preserve"> suffered from [extreme flooding/ hurricane/forest fires] </w:t>
      </w:r>
      <w:r w:rsidRPr="4ACEA68A">
        <w:rPr>
          <w:rFonts w:ascii="Garamond" w:hAnsi="Garamond" w:cs="Times New Roman"/>
          <w:i/>
          <w:szCs w:val="24"/>
          <w:lang w:val="en-GB"/>
        </w:rPr>
        <w:t>[to be adapted to each Applicant]</w:t>
      </w:r>
      <w:r w:rsidRPr="4ACEA68A">
        <w:rPr>
          <w:rFonts w:ascii="Garamond" w:hAnsi="Garamond" w:cs="Times New Roman"/>
          <w:szCs w:val="24"/>
          <w:lang w:val="en-GB"/>
        </w:rPr>
        <w:t>, which have interfered with [his</w:t>
      </w:r>
      <w:r>
        <w:rPr>
          <w:rFonts w:ascii="Garamond" w:hAnsi="Garamond" w:cs="Times New Roman"/>
          <w:szCs w:val="24"/>
          <w:lang w:val="en-GB"/>
        </w:rPr>
        <w:t>/her</w:t>
      </w:r>
      <w:r w:rsidRPr="4ACEA68A">
        <w:rPr>
          <w:rFonts w:ascii="Garamond" w:hAnsi="Garamond" w:cs="Times New Roman"/>
          <w:szCs w:val="24"/>
          <w:lang w:val="en-GB"/>
        </w:rPr>
        <w:t>] right to respect for [his</w:t>
      </w:r>
      <w:r>
        <w:rPr>
          <w:rFonts w:ascii="Garamond" w:hAnsi="Garamond" w:cs="Times New Roman"/>
          <w:szCs w:val="24"/>
          <w:lang w:val="en-GB"/>
        </w:rPr>
        <w:t>/her</w:t>
      </w:r>
      <w:r w:rsidRPr="4ACEA68A">
        <w:rPr>
          <w:rFonts w:ascii="Garamond" w:hAnsi="Garamond" w:cs="Times New Roman"/>
          <w:szCs w:val="24"/>
          <w:lang w:val="en-GB"/>
        </w:rPr>
        <w:t>] private and family life, and [his</w:t>
      </w:r>
      <w:r>
        <w:rPr>
          <w:rFonts w:ascii="Garamond" w:hAnsi="Garamond" w:cs="Times New Roman"/>
          <w:szCs w:val="24"/>
          <w:lang w:val="en-GB"/>
        </w:rPr>
        <w:t>/her</w:t>
      </w:r>
      <w:r w:rsidRPr="4ACEA68A">
        <w:rPr>
          <w:rFonts w:ascii="Garamond" w:hAnsi="Garamond" w:cs="Times New Roman"/>
          <w:szCs w:val="24"/>
          <w:lang w:val="en-GB"/>
        </w:rPr>
        <w:t>] home. Furthermore, the Applicant suffers from severe harm to [his</w:t>
      </w:r>
      <w:r>
        <w:rPr>
          <w:rFonts w:ascii="Garamond" w:hAnsi="Garamond" w:cs="Times New Roman"/>
          <w:szCs w:val="24"/>
          <w:lang w:val="en-GB"/>
        </w:rPr>
        <w:t>/her</w:t>
      </w:r>
      <w:r w:rsidRPr="4ACEA68A">
        <w:rPr>
          <w:rFonts w:ascii="Garamond" w:hAnsi="Garamond" w:cs="Times New Roman"/>
          <w:szCs w:val="24"/>
          <w:lang w:val="en-GB"/>
        </w:rPr>
        <w:t>] well-being, resulting in climate-related anxiety in [his</w:t>
      </w:r>
      <w:r>
        <w:rPr>
          <w:rFonts w:ascii="Garamond" w:hAnsi="Garamond" w:cs="Times New Roman"/>
          <w:szCs w:val="24"/>
          <w:lang w:val="en-GB"/>
        </w:rPr>
        <w:t>/her</w:t>
      </w:r>
      <w:r w:rsidRPr="4ACEA68A">
        <w:rPr>
          <w:rFonts w:ascii="Garamond" w:hAnsi="Garamond" w:cs="Times New Roman"/>
          <w:szCs w:val="24"/>
          <w:lang w:val="en-GB"/>
        </w:rPr>
        <w:t xml:space="preserve">] daily life </w:t>
      </w:r>
      <w:r w:rsidRPr="4ACEA68A">
        <w:rPr>
          <w:rFonts w:ascii="Garamond" w:hAnsi="Garamond"/>
          <w:szCs w:val="24"/>
          <w:lang w:val="en-GB"/>
        </w:rPr>
        <w:t>(Annex)</w:t>
      </w:r>
      <w:r w:rsidRPr="4ACEA68A">
        <w:rPr>
          <w:rFonts w:ascii="Garamond" w:hAnsi="Garamond" w:cs="Times New Roman"/>
          <w:szCs w:val="24"/>
          <w:lang w:val="en-GB"/>
        </w:rPr>
        <w:t>.</w:t>
      </w:r>
    </w:p>
    <w:p w14:paraId="3DB98552" w14:textId="77777777" w:rsidR="008D4DEB" w:rsidRPr="00905D95" w:rsidRDefault="008D4DEB">
      <w:pPr>
        <w:pStyle w:val="Paragraphedeliste"/>
        <w:numPr>
          <w:ilvl w:val="0"/>
          <w:numId w:val="7"/>
        </w:numPr>
        <w:spacing w:after="240" w:line="240" w:lineRule="auto"/>
        <w:contextualSpacing w:val="0"/>
        <w:jc w:val="both"/>
        <w:rPr>
          <w:rFonts w:ascii="Garamond" w:hAnsi="Garamond"/>
          <w:szCs w:val="24"/>
          <w:lang w:val="en-GB"/>
        </w:rPr>
      </w:pPr>
      <w:r w:rsidRPr="4ACEA68A">
        <w:rPr>
          <w:rFonts w:ascii="Garamond" w:hAnsi="Garamond"/>
          <w:szCs w:val="24"/>
          <w:lang w:val="en-GB"/>
        </w:rPr>
        <w:t xml:space="preserve">The Applicant is also expected to suffer from further extreme meteorological events, causing impact both on </w:t>
      </w:r>
      <w:r w:rsidRPr="4ACEA68A">
        <w:rPr>
          <w:rFonts w:ascii="Garamond" w:hAnsi="Garamond" w:cs="Times New Roman"/>
          <w:szCs w:val="24"/>
          <w:lang w:val="en-GB"/>
        </w:rPr>
        <w:t>[his</w:t>
      </w:r>
      <w:r>
        <w:rPr>
          <w:rFonts w:ascii="Garamond" w:hAnsi="Garamond" w:cs="Times New Roman"/>
          <w:szCs w:val="24"/>
          <w:lang w:val="en-GB"/>
        </w:rPr>
        <w:t>/her</w:t>
      </w:r>
      <w:r w:rsidRPr="4ACEA68A">
        <w:rPr>
          <w:rFonts w:ascii="Garamond" w:hAnsi="Garamond" w:cs="Times New Roman"/>
          <w:szCs w:val="24"/>
          <w:lang w:val="en-GB"/>
        </w:rPr>
        <w:t xml:space="preserve">] </w:t>
      </w:r>
      <w:r w:rsidRPr="4ACEA68A">
        <w:rPr>
          <w:rFonts w:ascii="Garamond" w:hAnsi="Garamond"/>
          <w:szCs w:val="24"/>
          <w:lang w:val="en-GB"/>
        </w:rPr>
        <w:t xml:space="preserve">home and </w:t>
      </w:r>
      <w:r w:rsidRPr="4ACEA68A">
        <w:rPr>
          <w:rFonts w:ascii="Garamond" w:hAnsi="Garamond" w:cs="Times New Roman"/>
          <w:szCs w:val="24"/>
          <w:lang w:val="en-GB"/>
        </w:rPr>
        <w:t>[his</w:t>
      </w:r>
      <w:r>
        <w:rPr>
          <w:rFonts w:ascii="Garamond" w:hAnsi="Garamond" w:cs="Times New Roman"/>
          <w:szCs w:val="24"/>
          <w:lang w:val="en-GB"/>
        </w:rPr>
        <w:t>/her</w:t>
      </w:r>
      <w:r w:rsidRPr="4ACEA68A">
        <w:rPr>
          <w:rFonts w:ascii="Garamond" w:hAnsi="Garamond" w:cs="Times New Roman"/>
          <w:szCs w:val="24"/>
          <w:lang w:val="en-GB"/>
        </w:rPr>
        <w:t xml:space="preserve">] </w:t>
      </w:r>
      <w:r w:rsidRPr="4ACEA68A">
        <w:rPr>
          <w:rFonts w:ascii="Garamond" w:hAnsi="Garamond"/>
          <w:szCs w:val="24"/>
          <w:lang w:val="en-GB"/>
        </w:rPr>
        <w:t xml:space="preserve">health and well-being. Other impacts of climate change are also to be expected, and will worsen over time (Annex, §§ </w:t>
      </w:r>
      <w:r>
        <w:rPr>
          <w:rFonts w:ascii="Garamond" w:hAnsi="Garamond" w:cs="Times New Roman"/>
          <w:szCs w:val="24"/>
          <w:lang w:val="en-GB"/>
        </w:rPr>
        <w:t>23-29</w:t>
      </w:r>
      <w:r w:rsidRPr="4ACEA68A">
        <w:rPr>
          <w:rFonts w:ascii="Garamond" w:hAnsi="Garamond"/>
          <w:szCs w:val="24"/>
          <w:lang w:val="en-GB"/>
        </w:rPr>
        <w:t>)</w:t>
      </w:r>
      <w:r w:rsidRPr="4ACEA68A">
        <w:rPr>
          <w:rFonts w:ascii="Garamond" w:hAnsi="Garamond" w:cs="Times New Roman"/>
          <w:szCs w:val="24"/>
          <w:lang w:val="en-GB"/>
        </w:rPr>
        <w:t>.</w:t>
      </w:r>
    </w:p>
    <w:p w14:paraId="113C602D" w14:textId="77777777" w:rsidR="008D4DEB" w:rsidRPr="00905D95" w:rsidRDefault="008D4DEB">
      <w:pPr>
        <w:pStyle w:val="Paragraphedeliste"/>
        <w:numPr>
          <w:ilvl w:val="0"/>
          <w:numId w:val="7"/>
        </w:numPr>
        <w:spacing w:after="240" w:line="240" w:lineRule="auto"/>
        <w:contextualSpacing w:val="0"/>
        <w:jc w:val="both"/>
        <w:rPr>
          <w:rFonts w:ascii="Garamond" w:hAnsi="Garamond"/>
          <w:szCs w:val="24"/>
          <w:lang w:val="en-GB"/>
        </w:rPr>
      </w:pPr>
      <w:r w:rsidRPr="4ACEA68A">
        <w:rPr>
          <w:rFonts w:ascii="Garamond" w:hAnsi="Garamond"/>
          <w:szCs w:val="24"/>
          <w:lang w:val="en-GB"/>
        </w:rPr>
        <w:t>In these circumstances, Articles 2 and 8 are applicable.</w:t>
      </w:r>
    </w:p>
    <w:p w14:paraId="54425977" w14:textId="77777777" w:rsidR="008D4DEB" w:rsidRPr="00837C1B" w:rsidRDefault="008D4DEB" w:rsidP="00837C1B">
      <w:pPr>
        <w:pStyle w:val="Titre4"/>
        <w:keepNext/>
        <w:numPr>
          <w:ilvl w:val="0"/>
          <w:numId w:val="16"/>
        </w:numPr>
        <w:spacing w:line="240" w:lineRule="auto"/>
        <w:rPr>
          <w:rFonts w:ascii="Garamond" w:hAnsi="Garamond"/>
          <w:color w:val="002060"/>
          <w:lang w:val="en-US"/>
        </w:rPr>
      </w:pPr>
      <w:r w:rsidRPr="00837C1B">
        <w:rPr>
          <w:rFonts w:ascii="Garamond" w:hAnsi="Garamond"/>
          <w:color w:val="002060"/>
          <w:lang w:val="en-US"/>
        </w:rPr>
        <w:t>Positive obligations under articles 2 AND 8 (Annex §§ 41 to 42)</w:t>
      </w:r>
    </w:p>
    <w:p w14:paraId="106F1023" w14:textId="77777777" w:rsidR="008D4DEB" w:rsidRPr="003233E6" w:rsidRDefault="008D4DEB" w:rsidP="00837C1B">
      <w:pPr>
        <w:pStyle w:val="Paragraphedeliste"/>
        <w:keepNext/>
        <w:numPr>
          <w:ilvl w:val="0"/>
          <w:numId w:val="7"/>
        </w:numPr>
        <w:spacing w:after="240" w:line="240" w:lineRule="auto"/>
        <w:contextualSpacing w:val="0"/>
        <w:jc w:val="both"/>
        <w:rPr>
          <w:rFonts w:ascii="Garamond" w:hAnsi="Garamond"/>
          <w:szCs w:val="24"/>
          <w:lang w:val="en-GB"/>
        </w:rPr>
      </w:pPr>
      <w:r w:rsidRPr="4ACEA68A">
        <w:rPr>
          <w:rFonts w:ascii="Garamond" w:hAnsi="Garamond"/>
          <w:szCs w:val="24"/>
          <w:lang w:val="en-GB"/>
        </w:rPr>
        <w:t xml:space="preserve">Articles 2 and 8 impose positive obligations upon States to take reasonable and sufficient measures to protect these rights from environmental threats (Tătar v. Romania, §107; Cordella and others v. Italy, §173). This involves, </w:t>
      </w:r>
      <w:r w:rsidRPr="4ACEA68A">
        <w:rPr>
          <w:rFonts w:ascii="Garamond" w:hAnsi="Garamond"/>
          <w:i/>
          <w:iCs/>
          <w:szCs w:val="24"/>
          <w:lang w:val="en-GB"/>
        </w:rPr>
        <w:t xml:space="preserve">inter alia, </w:t>
      </w:r>
      <w:r w:rsidRPr="4ACEA68A">
        <w:rPr>
          <w:rFonts w:ascii="Garamond" w:hAnsi="Garamond"/>
          <w:szCs w:val="24"/>
          <w:lang w:val="en-GB"/>
        </w:rPr>
        <w:t xml:space="preserve">a duty to establish an effective legal framework </w:t>
      </w:r>
      <w:r w:rsidRPr="4ACEA68A">
        <w:rPr>
          <w:rFonts w:ascii="Garamond" w:hAnsi="Garamond"/>
          <w:szCs w:val="24"/>
          <w:lang w:val="en-GB"/>
        </w:rPr>
        <w:lastRenderedPageBreak/>
        <w:t>to prevent or reduce environmental risks to life and private life (O</w:t>
      </w:r>
      <w:r w:rsidRPr="4ACEA68A">
        <w:rPr>
          <w:rFonts w:cs="Times New Roman"/>
          <w:szCs w:val="24"/>
          <w:lang w:val="en-GB"/>
        </w:rPr>
        <w:t>̈</w:t>
      </w:r>
      <w:r w:rsidRPr="4ACEA68A">
        <w:rPr>
          <w:rFonts w:ascii="Garamond" w:hAnsi="Garamond"/>
          <w:szCs w:val="24"/>
          <w:lang w:val="en-GB"/>
        </w:rPr>
        <w:t xml:space="preserve">neryıldız v. Turkey [GC], </w:t>
      </w:r>
      <w:r w:rsidRPr="4ACEA68A">
        <w:rPr>
          <w:rFonts w:ascii="Garamond" w:hAnsi="Garamond" w:cs="Times New Roman"/>
          <w:szCs w:val="24"/>
          <w:lang w:val="en-GB"/>
        </w:rPr>
        <w:t xml:space="preserve">app. no. 48939/99, </w:t>
      </w:r>
      <w:r w:rsidRPr="4ACEA68A">
        <w:rPr>
          <w:rFonts w:ascii="Garamond" w:hAnsi="Garamond"/>
          <w:szCs w:val="24"/>
          <w:lang w:val="en-GB"/>
        </w:rPr>
        <w:t xml:space="preserve">§§71, 89-90). </w:t>
      </w:r>
    </w:p>
    <w:p w14:paraId="0FCAC365" w14:textId="77777777" w:rsidR="008D4DEB" w:rsidRPr="00905D95" w:rsidRDefault="008D4DEB">
      <w:pPr>
        <w:pStyle w:val="Paragraphedeliste"/>
        <w:numPr>
          <w:ilvl w:val="0"/>
          <w:numId w:val="7"/>
        </w:numPr>
        <w:spacing w:after="240" w:line="240" w:lineRule="auto"/>
        <w:contextualSpacing w:val="0"/>
        <w:jc w:val="both"/>
        <w:rPr>
          <w:rFonts w:ascii="Garamond" w:hAnsi="Garamond"/>
          <w:szCs w:val="24"/>
          <w:lang w:val="en-GB"/>
        </w:rPr>
      </w:pPr>
      <w:r w:rsidRPr="4ACEA68A">
        <w:rPr>
          <w:rFonts w:ascii="Garamond" w:hAnsi="Garamond"/>
          <w:szCs w:val="24"/>
          <w:lang w:val="en-GB"/>
        </w:rPr>
        <w:t>Measures taken by States in this context must be appropriate and based on available science (Jugheli v. Georgia, app. no. 38342/05, §§76-77). Therefore, States must enact regulation for “any activity, whether public or not, in which the right to life may be at stake” (Budayeva and others v Russia, app. nos. 15339/02, 21166/02, 20058/02, 11673/02 and 15343/02, §130), including by regulating the private sector (Tătar v. Romania §87).</w:t>
      </w:r>
    </w:p>
    <w:p w14:paraId="70B6A167" w14:textId="77777777" w:rsidR="008D4DEB" w:rsidRPr="003233E6" w:rsidRDefault="008D4DEB">
      <w:pPr>
        <w:pStyle w:val="Paragraphedeliste"/>
        <w:numPr>
          <w:ilvl w:val="0"/>
          <w:numId w:val="7"/>
        </w:numPr>
        <w:spacing w:after="240" w:line="240" w:lineRule="auto"/>
        <w:contextualSpacing w:val="0"/>
        <w:jc w:val="both"/>
        <w:rPr>
          <w:rFonts w:ascii="Garamond" w:hAnsi="Garamond"/>
          <w:szCs w:val="24"/>
          <w:lang w:val="en-GB"/>
        </w:rPr>
      </w:pPr>
      <w:bookmarkStart w:id="30" w:name="_Hlk102757469"/>
      <w:r w:rsidRPr="4ACEA68A">
        <w:rPr>
          <w:rFonts w:ascii="Garamond" w:hAnsi="Garamond"/>
          <w:szCs w:val="24"/>
          <w:lang w:val="en-GB"/>
        </w:rPr>
        <w:t>As set out in the Annex, in the context of climate change, these obligations require the Respondent States to regulate and limit their emissions in a manner consistent with achieving the LTTG of 1.5</w:t>
      </w:r>
      <w:r w:rsidRPr="4ACEA68A">
        <w:rPr>
          <w:rFonts w:cs="Times New Roman"/>
          <w:szCs w:val="24"/>
          <w:lang w:val="en-GB" w:eastAsia="ja-JP"/>
        </w:rPr>
        <w:t>℃</w:t>
      </w:r>
      <w:r w:rsidRPr="4ACEA68A">
        <w:rPr>
          <w:rFonts w:ascii="Garamond" w:hAnsi="Garamond" w:cs="Times New Roman"/>
          <w:szCs w:val="24"/>
          <w:lang w:val="en-GB" w:eastAsia="ja-JP"/>
        </w:rPr>
        <w:t xml:space="preserve"> (“the overriding obligation”)</w:t>
      </w:r>
      <w:r w:rsidRPr="4ACEA68A">
        <w:rPr>
          <w:rFonts w:ascii="Garamond" w:hAnsi="Garamond"/>
          <w:szCs w:val="24"/>
          <w:lang w:val="en-GB"/>
        </w:rPr>
        <w:t>. In particular, this requires States to: (i) immediately take domestic mitigation measures to reduce their territorial emissions; (ii) limit the production and use of fossil fuels within their territories; and (iii) cooperate with other States in order to reduce global GHG emissions.</w:t>
      </w:r>
      <w:bookmarkEnd w:id="30"/>
    </w:p>
    <w:p w14:paraId="295AD099" w14:textId="64593218" w:rsidR="008D4DEB" w:rsidRPr="008D4DEB" w:rsidRDefault="008D4DEB" w:rsidP="008D4DEB">
      <w:pPr>
        <w:pStyle w:val="Titre4"/>
        <w:spacing w:line="240" w:lineRule="auto"/>
        <w:ind w:left="709"/>
        <w:rPr>
          <w:rFonts w:ascii="Garamond" w:hAnsi="Garamond"/>
          <w:color w:val="002060"/>
          <w:lang w:val="en-US"/>
        </w:rPr>
      </w:pPr>
      <w:r w:rsidRPr="008D4DEB">
        <w:rPr>
          <w:rFonts w:ascii="Garamond" w:hAnsi="Garamond"/>
          <w:color w:val="002060"/>
          <w:lang w:val="en-US"/>
        </w:rPr>
        <w:t xml:space="preserve">Positive obligations of </w:t>
      </w:r>
      <w:r w:rsidR="00B5460F">
        <w:rPr>
          <w:rFonts w:ascii="Garamond" w:hAnsi="Garamond"/>
          <w:color w:val="002060"/>
          <w:lang w:val="en-US"/>
        </w:rPr>
        <w:t>S</w:t>
      </w:r>
      <w:r w:rsidRPr="008D4DEB">
        <w:rPr>
          <w:rFonts w:ascii="Garamond" w:hAnsi="Garamond"/>
          <w:color w:val="002060"/>
          <w:lang w:val="en-US"/>
        </w:rPr>
        <w:t xml:space="preserve">tates in the </w:t>
      </w:r>
      <w:r w:rsidR="00B5460F">
        <w:rPr>
          <w:rFonts w:ascii="Garamond" w:hAnsi="Garamond"/>
          <w:color w:val="002060"/>
          <w:lang w:val="en-US"/>
        </w:rPr>
        <w:t>ECT</w:t>
      </w:r>
      <w:r w:rsidRPr="008D4DEB">
        <w:rPr>
          <w:rFonts w:ascii="Garamond" w:hAnsi="Garamond"/>
          <w:color w:val="002060"/>
          <w:lang w:val="en-US"/>
        </w:rPr>
        <w:t xml:space="preserve"> context (Annex §§ 43 to 57)</w:t>
      </w:r>
    </w:p>
    <w:p w14:paraId="1C0151E1" w14:textId="77777777" w:rsidR="008D4DEB" w:rsidRPr="005A7FBC" w:rsidRDefault="008D4DEB">
      <w:pPr>
        <w:pStyle w:val="Paragraphedeliste"/>
        <w:numPr>
          <w:ilvl w:val="0"/>
          <w:numId w:val="7"/>
        </w:numPr>
        <w:spacing w:after="240" w:line="240" w:lineRule="auto"/>
        <w:contextualSpacing w:val="0"/>
        <w:jc w:val="both"/>
        <w:rPr>
          <w:rFonts w:ascii="Garamond" w:hAnsi="Garamond" w:cs="Times New Roman"/>
          <w:szCs w:val="24"/>
          <w:lang w:val="en-GB"/>
        </w:rPr>
      </w:pPr>
      <w:r w:rsidRPr="4ACEA68A">
        <w:rPr>
          <w:rFonts w:ascii="Garamond" w:hAnsi="Garamond"/>
          <w:szCs w:val="24"/>
          <w:lang w:val="en-GB"/>
        </w:rPr>
        <w:t>In</w:t>
      </w:r>
      <w:r w:rsidRPr="4ACEA68A">
        <w:rPr>
          <w:rFonts w:ascii="Garamond" w:hAnsi="Garamond" w:cs="Times New Roman"/>
          <w:szCs w:val="24"/>
          <w:lang w:val="en-GB"/>
        </w:rPr>
        <w:t xml:space="preserve"> its current form, membership of and compliance with the ECT impedes the Respondent States’ ability to comply with their overriding obligation under Articles 2 and 8 in that it</w:t>
      </w:r>
      <w:r w:rsidRPr="4ACEA68A">
        <w:rPr>
          <w:rFonts w:ascii="Garamond" w:hAnsi="Garamond"/>
          <w:szCs w:val="24"/>
          <w:lang w:val="en-GB"/>
        </w:rPr>
        <w:t xml:space="preserve"> impacts the extent States – without the threat of liability – can: </w:t>
      </w:r>
    </w:p>
    <w:p w14:paraId="79AEE579" w14:textId="77777777" w:rsidR="008D4DEB" w:rsidRDefault="008D4DEB">
      <w:pPr>
        <w:pStyle w:val="Paragraphedeliste"/>
        <w:numPr>
          <w:ilvl w:val="0"/>
          <w:numId w:val="13"/>
        </w:numPr>
        <w:spacing w:after="240" w:line="240" w:lineRule="auto"/>
        <w:contextualSpacing w:val="0"/>
        <w:jc w:val="both"/>
        <w:rPr>
          <w:rFonts w:ascii="Garamond" w:hAnsi="Garamond"/>
          <w:szCs w:val="24"/>
          <w:lang w:val="en-GB"/>
        </w:rPr>
      </w:pPr>
      <w:r w:rsidRPr="4ACEA68A">
        <w:rPr>
          <w:rFonts w:ascii="Garamond" w:hAnsi="Garamond"/>
          <w:szCs w:val="24"/>
          <w:lang w:val="en-GB"/>
        </w:rPr>
        <w:t xml:space="preserve">urgently limit their territorial emissions by carrying out the energy transition away from fossil fuel-based energy to low-carbon sources; </w:t>
      </w:r>
    </w:p>
    <w:p w14:paraId="45A650C3" w14:textId="77777777" w:rsidR="008D4DEB" w:rsidRPr="005A7FBC" w:rsidRDefault="008D4DEB">
      <w:pPr>
        <w:pStyle w:val="Paragraphedeliste"/>
        <w:numPr>
          <w:ilvl w:val="0"/>
          <w:numId w:val="13"/>
        </w:numPr>
        <w:spacing w:after="240" w:line="240" w:lineRule="auto"/>
        <w:contextualSpacing w:val="0"/>
        <w:jc w:val="both"/>
        <w:rPr>
          <w:rFonts w:ascii="Garamond" w:hAnsi="Garamond" w:cs="Times New Roman"/>
          <w:szCs w:val="24"/>
          <w:lang w:val="en-GB"/>
        </w:rPr>
      </w:pPr>
      <w:r w:rsidRPr="4ACEA68A">
        <w:rPr>
          <w:rFonts w:ascii="Garamond" w:hAnsi="Garamond"/>
          <w:szCs w:val="24"/>
          <w:lang w:val="en-GB"/>
        </w:rPr>
        <w:t xml:space="preserve">prohibit the opening of oil fields, gas fields and coal mines within their territory; and </w:t>
      </w:r>
    </w:p>
    <w:p w14:paraId="187521C8" w14:textId="77777777" w:rsidR="008D4DEB" w:rsidRPr="006E1A21" w:rsidRDefault="008D4DEB">
      <w:pPr>
        <w:pStyle w:val="Paragraphedeliste"/>
        <w:numPr>
          <w:ilvl w:val="0"/>
          <w:numId w:val="13"/>
        </w:numPr>
        <w:spacing w:after="240" w:line="240" w:lineRule="auto"/>
        <w:contextualSpacing w:val="0"/>
        <w:jc w:val="both"/>
        <w:rPr>
          <w:rFonts w:ascii="Garamond" w:hAnsi="Garamond" w:cs="Times New Roman"/>
          <w:szCs w:val="24"/>
          <w:lang w:val="en-GB"/>
        </w:rPr>
      </w:pPr>
      <w:r w:rsidRPr="4ACEA68A">
        <w:rPr>
          <w:rFonts w:ascii="Garamond" w:hAnsi="Garamond"/>
          <w:szCs w:val="24"/>
          <w:lang w:val="en-GB"/>
        </w:rPr>
        <w:t>limit extraction from existing fossil fuel reserves in their territory.</w:t>
      </w:r>
      <w:r>
        <w:rPr>
          <w:rFonts w:ascii="Garamond" w:hAnsi="Garamond"/>
          <w:szCs w:val="24"/>
          <w:lang w:val="en-GB"/>
        </w:rPr>
        <w:t xml:space="preserve"> </w:t>
      </w:r>
      <w:r w:rsidRPr="006E1A21">
        <w:rPr>
          <w:rFonts w:ascii="Garamond" w:hAnsi="Garamond" w:cs="Times New Roman"/>
          <w:szCs w:val="24"/>
          <w:lang w:val="en-GB"/>
        </w:rPr>
        <w:t xml:space="preserve">Furthermore, States’ duty to cooperate under Articles 2 and 8, in the context of climate change, requires States </w:t>
      </w:r>
      <w:bookmarkStart w:id="31" w:name="_Hlk106641593"/>
      <w:r w:rsidRPr="006E1A21">
        <w:rPr>
          <w:rFonts w:ascii="Garamond" w:hAnsi="Garamond" w:cs="Times New Roman"/>
          <w:szCs w:val="24"/>
          <w:lang w:val="en-GB"/>
        </w:rPr>
        <w:t xml:space="preserve">not to impede other States’ efforts </w:t>
      </w:r>
      <w:r w:rsidRPr="006E1A21">
        <w:rPr>
          <w:rFonts w:ascii="Garamond" w:hAnsi="Garamond"/>
          <w:szCs w:val="24"/>
          <w:lang w:val="en-GB"/>
        </w:rPr>
        <w:t>to reduce their territorial emissions</w:t>
      </w:r>
      <w:bookmarkEnd w:id="31"/>
      <w:r w:rsidRPr="006E1A21">
        <w:rPr>
          <w:rFonts w:ascii="Garamond" w:hAnsi="Garamond" w:cs="Times New Roman"/>
          <w:szCs w:val="24"/>
          <w:lang w:val="en-GB"/>
        </w:rPr>
        <w:t>.</w:t>
      </w:r>
    </w:p>
    <w:p w14:paraId="609DC06F" w14:textId="77777777" w:rsidR="008D4DEB" w:rsidRPr="005A7FBC" w:rsidRDefault="008D4DEB">
      <w:pPr>
        <w:pStyle w:val="Paragraphedeliste"/>
        <w:numPr>
          <w:ilvl w:val="0"/>
          <w:numId w:val="7"/>
        </w:numPr>
        <w:spacing w:after="240" w:line="240" w:lineRule="auto"/>
        <w:contextualSpacing w:val="0"/>
        <w:jc w:val="both"/>
        <w:rPr>
          <w:rFonts w:eastAsiaTheme="minorEastAsia"/>
          <w:szCs w:val="24"/>
          <w:lang w:val="en-GB"/>
        </w:rPr>
      </w:pPr>
      <w:r w:rsidRPr="00961A5B">
        <w:rPr>
          <w:rFonts w:ascii="Garamond" w:hAnsi="Garamond"/>
          <w:szCs w:val="24"/>
          <w:lang w:val="en-GB"/>
        </w:rPr>
        <w:t xml:space="preserve">In these circumstances, the Respondent States are under a duty to take reasonable steps to remove the impediments created by the ECT to the fulfilment of their obligations under the Convention. Whilst the choice of means lies within States’ margins of appreciation, such steps may include: </w:t>
      </w:r>
    </w:p>
    <w:p w14:paraId="1EEC46CE" w14:textId="77777777" w:rsidR="008D4DEB" w:rsidRDefault="008D4DEB">
      <w:pPr>
        <w:pStyle w:val="Paragraphedeliste"/>
        <w:numPr>
          <w:ilvl w:val="0"/>
          <w:numId w:val="14"/>
        </w:numPr>
        <w:spacing w:after="240" w:line="240" w:lineRule="auto"/>
        <w:contextualSpacing w:val="0"/>
        <w:jc w:val="both"/>
        <w:rPr>
          <w:rFonts w:ascii="Garamond" w:hAnsi="Garamond"/>
          <w:szCs w:val="24"/>
          <w:lang w:val="en-GB"/>
        </w:rPr>
      </w:pPr>
      <w:r w:rsidRPr="00961A5B">
        <w:rPr>
          <w:rFonts w:ascii="Garamond" w:hAnsi="Garamond"/>
          <w:szCs w:val="24"/>
          <w:lang w:val="en-GB"/>
        </w:rPr>
        <w:t xml:space="preserve">negotiating relevant exemptions or amendments to the ECT; </w:t>
      </w:r>
    </w:p>
    <w:p w14:paraId="69651690" w14:textId="77777777" w:rsidR="008D4DEB" w:rsidRDefault="008D4DEB">
      <w:pPr>
        <w:pStyle w:val="Paragraphedeliste"/>
        <w:numPr>
          <w:ilvl w:val="0"/>
          <w:numId w:val="14"/>
        </w:numPr>
        <w:spacing w:after="240" w:line="240" w:lineRule="auto"/>
        <w:contextualSpacing w:val="0"/>
        <w:jc w:val="both"/>
        <w:rPr>
          <w:rFonts w:ascii="Garamond" w:hAnsi="Garamond"/>
          <w:szCs w:val="24"/>
          <w:lang w:val="en-GB"/>
        </w:rPr>
      </w:pPr>
      <w:r w:rsidRPr="00961A5B">
        <w:rPr>
          <w:rFonts w:ascii="Garamond" w:hAnsi="Garamond"/>
          <w:szCs w:val="24"/>
          <w:lang w:val="en-GB"/>
        </w:rPr>
        <w:t xml:space="preserve">withdrawing from the ECT; </w:t>
      </w:r>
    </w:p>
    <w:p w14:paraId="661F8853" w14:textId="77777777" w:rsidR="008D4DEB" w:rsidRPr="005A7FBC" w:rsidRDefault="008D4DEB">
      <w:pPr>
        <w:pStyle w:val="Paragraphedeliste"/>
        <w:numPr>
          <w:ilvl w:val="0"/>
          <w:numId w:val="14"/>
        </w:numPr>
        <w:spacing w:after="240" w:line="240" w:lineRule="auto"/>
        <w:contextualSpacing w:val="0"/>
        <w:jc w:val="both"/>
        <w:rPr>
          <w:rFonts w:ascii="Garamond" w:hAnsi="Garamond"/>
          <w:szCs w:val="24"/>
          <w:lang w:val="en-GB"/>
        </w:rPr>
      </w:pPr>
      <w:bookmarkStart w:id="32" w:name="_Hlk106657766"/>
      <w:r w:rsidRPr="005A7FBC">
        <w:rPr>
          <w:rFonts w:ascii="Garamond" w:eastAsia="Garamond" w:hAnsi="Garamond" w:cs="Garamond"/>
          <w:szCs w:val="24"/>
          <w:lang w:val="en-GB"/>
        </w:rPr>
        <w:t>adequately regulating companies within their jurisdiction to prevent them from bringing ECT claims against other States in relation to their climate mitigation measures</w:t>
      </w:r>
      <w:bookmarkEnd w:id="32"/>
      <w:r w:rsidRPr="005A7FBC">
        <w:rPr>
          <w:rFonts w:ascii="Garamond" w:hAnsi="Garamond"/>
          <w:szCs w:val="24"/>
          <w:lang w:val="en-GB"/>
        </w:rPr>
        <w:t>. As partly evidenced by their protracted and ineffective steps taken to renegotiate the ECT to date, the Respondent States have failed to take such steps and are therefore in breach of Articles 2 and 8.</w:t>
      </w:r>
    </w:p>
    <w:p w14:paraId="62BDB536" w14:textId="77777777" w:rsidR="008D4DEB" w:rsidRPr="00905D95" w:rsidRDefault="008D4DEB">
      <w:pPr>
        <w:pStyle w:val="Paragraphedeliste"/>
        <w:numPr>
          <w:ilvl w:val="0"/>
          <w:numId w:val="7"/>
        </w:numPr>
        <w:spacing w:after="240" w:line="240" w:lineRule="auto"/>
        <w:contextualSpacing w:val="0"/>
        <w:jc w:val="both"/>
        <w:rPr>
          <w:rFonts w:ascii="Garamond" w:hAnsi="Garamond"/>
          <w:szCs w:val="24"/>
          <w:lang w:val="en-GB"/>
        </w:rPr>
      </w:pPr>
      <w:bookmarkStart w:id="33" w:name="_Hlk102757644"/>
      <w:r w:rsidRPr="4ACEA68A">
        <w:rPr>
          <w:rFonts w:ascii="Garamond" w:hAnsi="Garamond" w:cs="Times New Roman"/>
          <w:szCs w:val="24"/>
          <w:lang w:val="en-GB"/>
        </w:rPr>
        <w:t>Pursuant</w:t>
      </w:r>
      <w:r w:rsidRPr="4ACEA68A">
        <w:rPr>
          <w:rFonts w:ascii="Garamond" w:hAnsi="Garamond"/>
          <w:szCs w:val="24"/>
          <w:lang w:val="en-GB"/>
        </w:rPr>
        <w:t xml:space="preserve"> to Article 41 of the Convention, the Applicant seeks declaratory relief from the Court, namely a declaration that to comply with their obligations under the Convention, the Respondent States have to remove the impediments created by the ECT</w:t>
      </w:r>
      <w:bookmarkEnd w:id="33"/>
      <w:r w:rsidRPr="4ACEA68A">
        <w:rPr>
          <w:rFonts w:ascii="Garamond" w:hAnsi="Garamond"/>
          <w:szCs w:val="24"/>
          <w:lang w:val="en-GB"/>
        </w:rPr>
        <w:t xml:space="preserve"> which are inhibiting them from meeting the LTTG of 1.5°C.</w:t>
      </w:r>
    </w:p>
    <w:p w14:paraId="22DDC963" w14:textId="5BA146EC" w:rsidR="008D4DEB" w:rsidRPr="005A7FBC" w:rsidRDefault="008D4DEB" w:rsidP="008D4DEB">
      <w:pPr>
        <w:spacing w:after="240"/>
        <w:jc w:val="both"/>
        <w:rPr>
          <w:rFonts w:ascii="Garamond" w:hAnsi="Garamond"/>
          <w:b/>
          <w:i/>
          <w:color w:val="002060"/>
          <w:u w:val="single"/>
          <w:lang w:val="en-GB"/>
        </w:rPr>
      </w:pPr>
      <w:r w:rsidRPr="005A7FBC">
        <w:rPr>
          <w:rFonts w:ascii="Garamond" w:hAnsi="Garamond"/>
          <w:b/>
          <w:i/>
          <w:color w:val="002060"/>
          <w:u w:val="single"/>
          <w:lang w:val="en-GB"/>
        </w:rPr>
        <w:lastRenderedPageBreak/>
        <w:t>ARTICLES INVOKED</w:t>
      </w:r>
      <w:r w:rsidRPr="000D35A0">
        <w:rPr>
          <w:rFonts w:ascii="Garamond" w:hAnsi="Garamond"/>
          <w:b/>
          <w:i/>
          <w:color w:val="002060"/>
          <w:lang w:val="en-GB"/>
        </w:rPr>
        <w:t xml:space="preserve">: </w:t>
      </w:r>
      <w:r w:rsidRPr="005A7FBC">
        <w:rPr>
          <w:rFonts w:ascii="Garamond" w:hAnsi="Garamond"/>
          <w:b/>
          <w:iCs/>
          <w:color w:val="002060"/>
          <w:lang w:val="en-GB"/>
        </w:rPr>
        <w:t>ARTICLE 14 READ IN CONJUNCTION WITH ARTICLES 2 AND</w:t>
      </w:r>
      <w:r w:rsidR="00B5460F">
        <w:rPr>
          <w:rFonts w:ascii="Garamond" w:hAnsi="Garamond"/>
          <w:b/>
          <w:iCs/>
          <w:color w:val="002060"/>
          <w:lang w:val="en-GB"/>
        </w:rPr>
        <w:t> </w:t>
      </w:r>
      <w:r w:rsidRPr="005A7FBC">
        <w:rPr>
          <w:rFonts w:ascii="Garamond" w:hAnsi="Garamond"/>
          <w:b/>
          <w:iCs/>
          <w:color w:val="002060"/>
          <w:lang w:val="en-GB"/>
        </w:rPr>
        <w:t>8</w:t>
      </w:r>
      <w:r w:rsidRPr="005A7FBC">
        <w:rPr>
          <w:rFonts w:ascii="Garamond" w:hAnsi="Garamond"/>
          <w:b/>
          <w:i/>
          <w:color w:val="002060"/>
          <w:u w:val="single"/>
          <w:lang w:val="en-GB"/>
        </w:rPr>
        <w:t xml:space="preserve"> </w:t>
      </w:r>
    </w:p>
    <w:p w14:paraId="31839C9A" w14:textId="77777777" w:rsidR="008D4DEB" w:rsidRPr="003C4874" w:rsidRDefault="008D4DEB">
      <w:pPr>
        <w:pStyle w:val="Paragraphedeliste"/>
        <w:numPr>
          <w:ilvl w:val="0"/>
          <w:numId w:val="7"/>
        </w:numPr>
        <w:spacing w:after="240" w:line="240" w:lineRule="auto"/>
        <w:contextualSpacing w:val="0"/>
        <w:jc w:val="both"/>
        <w:rPr>
          <w:rFonts w:ascii="Garamond" w:hAnsi="Garamond"/>
          <w:szCs w:val="24"/>
          <w:lang w:val="en-GB"/>
        </w:rPr>
      </w:pPr>
      <w:r w:rsidRPr="4ACEA68A">
        <w:rPr>
          <w:rFonts w:ascii="Garamond" w:hAnsi="Garamond" w:cs="Times New Roman"/>
          <w:szCs w:val="24"/>
          <w:lang w:val="en-GB"/>
        </w:rPr>
        <w:t>Age</w:t>
      </w:r>
      <w:r w:rsidRPr="4ACEA68A">
        <w:rPr>
          <w:rFonts w:ascii="Garamond" w:hAnsi="Garamond"/>
          <w:szCs w:val="24"/>
          <w:lang w:val="en-GB"/>
        </w:rPr>
        <w:t xml:space="preserve"> is one of the statuses upon which discrimination is prohibited (Schwizgebel v. Switzerland, app. no. 25762/07). Discrimination may occur indirectly where “a general policy or measure […] has disproportionately prejudicial effects on a particular group […] even where it is not specifically aimed at that group and there is no discriminatory intent” (SAS v. France [GC], app. no. 43835/11, §161). Such prejudicial effects will be discriminatory if they are not justified by a legitimate aim, or are disproportionate to that aim (Burden v. United Kingdom, app. n°13378/05, §60). The Applicant is, because of [his] age, expected to experience a greater interference with [his] rights under the ECHR than upon older generations. There is no justification for this disproportionate prejudicial effect. Therefore, the Respondent States have breached Article 14, read in conjunction with Articles 2 and 8.</w:t>
      </w:r>
    </w:p>
    <w:p w14:paraId="211B9E48" w14:textId="77777777" w:rsidR="008D4DEB" w:rsidRPr="005A7FBC" w:rsidRDefault="008D4DEB" w:rsidP="008D4DEB">
      <w:pPr>
        <w:spacing w:after="240"/>
        <w:jc w:val="both"/>
        <w:rPr>
          <w:rFonts w:ascii="Garamond" w:hAnsi="Garamond"/>
          <w:b/>
          <w:i/>
          <w:color w:val="002060"/>
          <w:u w:val="single"/>
          <w:lang w:val="en-GB"/>
        </w:rPr>
      </w:pPr>
      <w:r w:rsidRPr="005A7FBC">
        <w:rPr>
          <w:rFonts w:ascii="Garamond" w:hAnsi="Garamond"/>
          <w:b/>
          <w:i/>
          <w:color w:val="002060"/>
          <w:u w:val="single"/>
          <w:lang w:val="en-GB"/>
        </w:rPr>
        <w:t>ARTICLES INVOKED</w:t>
      </w:r>
      <w:r w:rsidRPr="005A7FBC">
        <w:rPr>
          <w:rFonts w:ascii="Garamond" w:hAnsi="Garamond"/>
          <w:b/>
          <w:iCs/>
          <w:color w:val="002060"/>
          <w:lang w:val="en-GB"/>
        </w:rPr>
        <w:t>: ARTICLE 3</w:t>
      </w:r>
      <w:r w:rsidRPr="005A7FBC">
        <w:rPr>
          <w:rFonts w:ascii="Garamond" w:hAnsi="Garamond"/>
          <w:b/>
          <w:i/>
          <w:color w:val="002060"/>
          <w:u w:val="single"/>
          <w:lang w:val="en-GB"/>
        </w:rPr>
        <w:t xml:space="preserve"> </w:t>
      </w:r>
    </w:p>
    <w:p w14:paraId="3B93FDEF" w14:textId="77777777" w:rsidR="008D4DEB" w:rsidRPr="008C320D" w:rsidRDefault="008D4DEB">
      <w:pPr>
        <w:pStyle w:val="Paragraphedeliste"/>
        <w:numPr>
          <w:ilvl w:val="0"/>
          <w:numId w:val="7"/>
        </w:numPr>
        <w:spacing w:after="240" w:line="240" w:lineRule="auto"/>
        <w:contextualSpacing w:val="0"/>
        <w:jc w:val="both"/>
        <w:rPr>
          <w:rFonts w:ascii="Garamond" w:hAnsi="Garamond"/>
          <w:szCs w:val="24"/>
          <w:lang w:val="en-GB"/>
        </w:rPr>
      </w:pPr>
      <w:r w:rsidRPr="4ACEA68A">
        <w:rPr>
          <w:rFonts w:ascii="Garamond" w:hAnsi="Garamond"/>
          <w:szCs w:val="24"/>
          <w:lang w:val="en-GB"/>
        </w:rPr>
        <w:t>Article 3 establishes an “absolute right” not to be subjected to inhuman or degrading treatment (Labita v. Italy [GC], app. no. 26772/95, §119). Article 3 notably entails a positive obligation “to take measures designed to ensure that individuals within their jurisdiction are not subjected to […] inhuman or degrading treatment” (O’Keeffe v Ireland, app. no. 35810/09, §144). This Court has acknowledged that Article 3 is relevant in an environmental context (Duarte Agostinho &amp; others v. Portugal &amp; 32 Other States, app. no. 39371/20, Information Note, December 2020). A range of circumstances have been found by this Court to amount to Article 3 breaches, including “feelings of fear, anxiety and powerlessness” (Volodina v. Russia,</w:t>
      </w:r>
      <w:r w:rsidRPr="4ACEA68A">
        <w:rPr>
          <w:rFonts w:ascii="Garamond" w:hAnsi="Garamond"/>
          <w:i/>
          <w:iCs/>
          <w:szCs w:val="24"/>
          <w:lang w:val="en-GB"/>
        </w:rPr>
        <w:t xml:space="preserve"> </w:t>
      </w:r>
      <w:r w:rsidRPr="4ACEA68A">
        <w:rPr>
          <w:rFonts w:ascii="Garamond" w:hAnsi="Garamond"/>
          <w:szCs w:val="24"/>
          <w:lang w:val="en-GB"/>
        </w:rPr>
        <w:t>app. no. 41261/17, §75), notably when combined with “prolonged uncertainty” as to whether a situation will improve (M.S.S. v Belgium and Greece [GC], app. no. 30696/09, §263). A violation of Article 3 occurs when authorities only express indifference, denying the applicant’s right to hope (Vinter and others v. United Kingdom, app. nos. 66069/09 and others, §54). The Applicant is experiencing such feelings (statement, p. [x]) and is particularly vulnerable to such ill-treatment, especially in light of his young age. Thus, the Respondent States, by showing indifference to this situation, have breached Article 3.</w:t>
      </w:r>
    </w:p>
    <w:p w14:paraId="7E6A10B0" w14:textId="06298C9D" w:rsidR="008D4DEB" w:rsidRPr="00837C1B" w:rsidRDefault="00837C1B" w:rsidP="00837C1B">
      <w:pPr>
        <w:spacing w:before="360" w:after="240"/>
        <w:jc w:val="both"/>
        <w:rPr>
          <w:rFonts w:ascii="Garamond" w:hAnsi="Garamond" w:cstheme="minorHAnsi"/>
          <w:b/>
          <w:bCs/>
          <w:i/>
          <w:iCs/>
          <w:u w:val="single"/>
          <w:lang w:val="en-US"/>
        </w:rPr>
      </w:pPr>
      <w:bookmarkStart w:id="34" w:name="_Hlk102757755"/>
      <w:r w:rsidRPr="00837C1B">
        <w:rPr>
          <w:rFonts w:ascii="Garamond" w:hAnsi="Garamond" w:cstheme="minorHAnsi"/>
          <w:b/>
          <w:bCs/>
          <w:i/>
          <w:iCs/>
          <w:u w:val="single"/>
          <w:lang w:val="en-US"/>
        </w:rPr>
        <w:t>COMPLIANCE WITH ADMISSIBILITY CRITERIA LAID DOWN IN ARTICLE 35 § 1 OF THE CONVENTION</w:t>
      </w:r>
      <w:bookmarkEnd w:id="34"/>
    </w:p>
    <w:p w14:paraId="460F34EF" w14:textId="77777777" w:rsidR="008D4DEB" w:rsidRPr="005A7FBC" w:rsidRDefault="008D4DEB" w:rsidP="008D4DEB">
      <w:pPr>
        <w:spacing w:after="240"/>
        <w:jc w:val="both"/>
        <w:rPr>
          <w:rFonts w:ascii="Garamond" w:hAnsi="Garamond"/>
          <w:b/>
          <w:color w:val="002060"/>
          <w:lang w:val="en-GB"/>
        </w:rPr>
      </w:pPr>
      <w:r w:rsidRPr="005A7FBC">
        <w:rPr>
          <w:rFonts w:ascii="Garamond" w:hAnsi="Garamond"/>
          <w:b/>
          <w:color w:val="002060"/>
          <w:lang w:val="en-GB"/>
        </w:rPr>
        <w:t>THE SIX-MONTH TIME-LIMIT DOES NOT APPLY TO THIS CLAIM</w:t>
      </w:r>
    </w:p>
    <w:p w14:paraId="506E9E8C" w14:textId="77777777" w:rsidR="008D4DEB" w:rsidRPr="00905D95" w:rsidRDefault="008D4DEB">
      <w:pPr>
        <w:pStyle w:val="Paragraphedeliste"/>
        <w:numPr>
          <w:ilvl w:val="0"/>
          <w:numId w:val="7"/>
        </w:numPr>
        <w:spacing w:after="240" w:line="240" w:lineRule="auto"/>
        <w:contextualSpacing w:val="0"/>
        <w:jc w:val="both"/>
        <w:rPr>
          <w:rFonts w:ascii="Garamond" w:hAnsi="Garamond"/>
          <w:szCs w:val="24"/>
          <w:lang w:val="en-GB"/>
        </w:rPr>
      </w:pPr>
      <w:r w:rsidRPr="4ACEA68A">
        <w:rPr>
          <w:rFonts w:ascii="Garamond" w:hAnsi="Garamond"/>
          <w:szCs w:val="24"/>
          <w:lang w:val="en-GB"/>
        </w:rPr>
        <w:t>As an exception to the six-month time-limit, a claim can be submitted at any time if it concerns a continuing situation or where no effective remedy is available (Sabri Günes v Turkey [GC], app. no. 27396/06, §54). Emissions of GHG is a continuing situation, as well as the absence of action to prevent the harmful effects of the application of the ECT. Thus, the six-month time-limit is not applicable to this case.</w:t>
      </w:r>
    </w:p>
    <w:p w14:paraId="3EC54603" w14:textId="77777777" w:rsidR="008D4DEB" w:rsidRPr="005A7FBC" w:rsidRDefault="008D4DEB" w:rsidP="008D4DEB">
      <w:pPr>
        <w:spacing w:after="240"/>
        <w:jc w:val="both"/>
        <w:rPr>
          <w:rFonts w:ascii="Garamond" w:hAnsi="Garamond"/>
          <w:b/>
          <w:color w:val="002060"/>
          <w:lang w:val="en-GB"/>
        </w:rPr>
      </w:pPr>
      <w:r w:rsidRPr="005A7FBC">
        <w:rPr>
          <w:rFonts w:ascii="Garamond" w:hAnsi="Garamond"/>
          <w:b/>
          <w:color w:val="002060"/>
          <w:lang w:val="en-GB"/>
        </w:rPr>
        <w:t>ABSENCE OF AN ADEQUATE REMEDY AVAILABLE TO THE APPLICANT</w:t>
      </w:r>
    </w:p>
    <w:p w14:paraId="311BC32C" w14:textId="77777777" w:rsidR="008D4DEB" w:rsidRPr="00905D95" w:rsidRDefault="008D4DEB">
      <w:pPr>
        <w:pStyle w:val="Paragraphedeliste"/>
        <w:numPr>
          <w:ilvl w:val="0"/>
          <w:numId w:val="7"/>
        </w:numPr>
        <w:spacing w:after="240" w:line="240" w:lineRule="auto"/>
        <w:contextualSpacing w:val="0"/>
        <w:jc w:val="both"/>
        <w:rPr>
          <w:rFonts w:ascii="Garamond" w:hAnsi="Garamond" w:cs="Times New Roman"/>
          <w:szCs w:val="24"/>
          <w:lang w:val="en-GB"/>
        </w:rPr>
      </w:pPr>
      <w:r w:rsidRPr="4ACEA68A">
        <w:rPr>
          <w:rFonts w:ascii="Garamond" w:hAnsi="Garamond"/>
          <w:szCs w:val="24"/>
          <w:lang w:val="en-GB"/>
        </w:rPr>
        <w:t xml:space="preserve">Article 35(1) of the Convention provides that: </w:t>
      </w:r>
      <w:r w:rsidRPr="4ACEA68A">
        <w:rPr>
          <w:rFonts w:ascii="Garamond" w:hAnsi="Garamond"/>
          <w:i/>
          <w:iCs/>
          <w:szCs w:val="24"/>
          <w:lang w:val="en-GB"/>
        </w:rPr>
        <w:t>“[t]he Court may only deal with the matter after all domestic remedies have been exhausted, according to the generally recognised rules of international law […]”</w:t>
      </w:r>
      <w:r w:rsidRPr="4ACEA68A">
        <w:rPr>
          <w:rFonts w:ascii="Garamond" w:hAnsi="Garamond"/>
          <w:szCs w:val="24"/>
          <w:lang w:val="en-GB"/>
        </w:rPr>
        <w:t xml:space="preserve"> (“the Exhaustion Rule”). The Exhaustion Rule is to be applied </w:t>
      </w:r>
      <w:r w:rsidRPr="4ACEA68A">
        <w:rPr>
          <w:rFonts w:ascii="Garamond" w:hAnsi="Garamond"/>
          <w:i/>
          <w:iCs/>
          <w:szCs w:val="24"/>
          <w:lang w:val="en-GB"/>
        </w:rPr>
        <w:t xml:space="preserve">“with some degree of flexibility and without excessive formalism” </w:t>
      </w:r>
      <w:r w:rsidRPr="4ACEA68A">
        <w:rPr>
          <w:rFonts w:ascii="Garamond" w:hAnsi="Garamond"/>
          <w:szCs w:val="24"/>
          <w:lang w:val="en-GB"/>
        </w:rPr>
        <w:t xml:space="preserve">(Mocanu and Others v. Romania [GC], apps nos 10865/09, 45886/07, 32431/08, para 224), it is </w:t>
      </w:r>
      <w:r w:rsidRPr="4ACEA68A">
        <w:rPr>
          <w:rFonts w:ascii="Garamond" w:hAnsi="Garamond"/>
          <w:i/>
          <w:iCs/>
          <w:szCs w:val="24"/>
          <w:lang w:val="en-GB"/>
        </w:rPr>
        <w:t xml:space="preserve">“neither absolute nor capable of being applied automatically” </w:t>
      </w:r>
      <w:r w:rsidRPr="4ACEA68A">
        <w:rPr>
          <w:rFonts w:ascii="Garamond" w:hAnsi="Garamond"/>
          <w:szCs w:val="24"/>
          <w:lang w:val="en-GB"/>
        </w:rPr>
        <w:t xml:space="preserve">(Kurić and Others </w:t>
      </w:r>
      <w:r w:rsidRPr="4ACEA68A">
        <w:rPr>
          <w:rFonts w:ascii="Garamond" w:hAnsi="Garamond"/>
          <w:szCs w:val="24"/>
          <w:lang w:val="en-GB"/>
        </w:rPr>
        <w:lastRenderedPageBreak/>
        <w:t>v. Slovenia [GC], app. no. 26828/06, §286).</w:t>
      </w:r>
      <w:r w:rsidRPr="4ACEA68A">
        <w:rPr>
          <w:rFonts w:ascii="Garamond" w:hAnsi="Garamond"/>
          <w:i/>
          <w:iCs/>
          <w:szCs w:val="24"/>
          <w:lang w:val="en-GB"/>
        </w:rPr>
        <w:t xml:space="preserve"> </w:t>
      </w:r>
      <w:r w:rsidRPr="4ACEA68A">
        <w:rPr>
          <w:rFonts w:ascii="Garamond" w:hAnsi="Garamond"/>
          <w:color w:val="000000" w:themeColor="text1"/>
          <w:szCs w:val="24"/>
          <w:lang w:val="en-GB"/>
        </w:rPr>
        <w:t xml:space="preserve">Accordingly, applicants are not required to exhaust domestic remedies where the remedy in question is not available or effective (Kudła v Poland [GC], app. no. 30210/96, para. 152). </w:t>
      </w:r>
    </w:p>
    <w:p w14:paraId="111B3FE9" w14:textId="77777777" w:rsidR="008D4DEB" w:rsidRPr="00905D95" w:rsidRDefault="008D4DEB">
      <w:pPr>
        <w:pStyle w:val="Paragraphedeliste"/>
        <w:numPr>
          <w:ilvl w:val="0"/>
          <w:numId w:val="7"/>
        </w:numPr>
        <w:spacing w:after="240" w:line="240" w:lineRule="auto"/>
        <w:contextualSpacing w:val="0"/>
        <w:jc w:val="both"/>
        <w:rPr>
          <w:rFonts w:ascii="Garamond" w:hAnsi="Garamond" w:cs="Times New Roman"/>
          <w:szCs w:val="24"/>
          <w:lang w:val="en-GB"/>
        </w:rPr>
      </w:pPr>
      <w:r w:rsidRPr="4ACEA68A">
        <w:rPr>
          <w:rFonts w:ascii="Garamond" w:hAnsi="Garamond"/>
          <w:szCs w:val="24"/>
          <w:lang w:val="en-GB"/>
        </w:rPr>
        <w:t>While noting that the Respondent States bear the burden of proving that the Applicant has not used domestic remedies which are effective and available (A and B v. Romania, apps nos. 48442/16, 48831/16, §105), the Applicant submits that no such remedies exist for six reasons, expressed hereunder and in the Annex.</w:t>
      </w:r>
    </w:p>
    <w:p w14:paraId="5D6F87B6" w14:textId="77777777" w:rsidR="008D4DEB" w:rsidRPr="00905D95" w:rsidRDefault="008D4DEB">
      <w:pPr>
        <w:pStyle w:val="Paragraphedeliste"/>
        <w:numPr>
          <w:ilvl w:val="0"/>
          <w:numId w:val="7"/>
        </w:numPr>
        <w:spacing w:after="240" w:line="240" w:lineRule="auto"/>
        <w:contextualSpacing w:val="0"/>
        <w:jc w:val="both"/>
        <w:rPr>
          <w:rFonts w:ascii="Garamond" w:hAnsi="Garamond"/>
          <w:szCs w:val="24"/>
          <w:lang w:val="en-GB"/>
        </w:rPr>
      </w:pPr>
      <w:r w:rsidRPr="4ACEA68A">
        <w:rPr>
          <w:rFonts w:ascii="Garamond" w:hAnsi="Garamond"/>
          <w:szCs w:val="24"/>
          <w:lang w:val="en-GB"/>
        </w:rPr>
        <w:t xml:space="preserve">First, the Applicant is a young adult and a student. Requiring </w:t>
      </w:r>
      <w:r w:rsidRPr="4ACEA68A">
        <w:rPr>
          <w:rFonts w:ascii="Garamond" w:hAnsi="Garamond"/>
          <w:color w:val="000000" w:themeColor="text1"/>
          <w:szCs w:val="24"/>
          <w:lang w:val="en-GB"/>
        </w:rPr>
        <w:t>him</w:t>
      </w:r>
      <w:r>
        <w:rPr>
          <w:rFonts w:ascii="Garamond" w:hAnsi="Garamond"/>
          <w:color w:val="000000" w:themeColor="text1"/>
          <w:szCs w:val="24"/>
          <w:lang w:val="en-GB"/>
        </w:rPr>
        <w:t>/her</w:t>
      </w:r>
      <w:r w:rsidRPr="4ACEA68A">
        <w:rPr>
          <w:rFonts w:ascii="Garamond" w:hAnsi="Garamond"/>
          <w:color w:val="000000" w:themeColor="text1"/>
          <w:szCs w:val="24"/>
          <w:lang w:val="en-GB"/>
        </w:rPr>
        <w:t xml:space="preserve"> </w:t>
      </w:r>
      <w:r w:rsidRPr="4ACEA68A">
        <w:rPr>
          <w:rFonts w:ascii="Garamond" w:hAnsi="Garamond"/>
          <w:szCs w:val="24"/>
          <w:lang w:val="en-GB"/>
        </w:rPr>
        <w:t>to exhaust domestic remedies would involve him</w:t>
      </w:r>
      <w:r>
        <w:rPr>
          <w:rFonts w:ascii="Garamond" w:hAnsi="Garamond"/>
          <w:szCs w:val="24"/>
          <w:lang w:val="en-GB"/>
        </w:rPr>
        <w:t>/her</w:t>
      </w:r>
      <w:r w:rsidRPr="4ACEA68A">
        <w:rPr>
          <w:rFonts w:ascii="Garamond" w:hAnsi="Garamond"/>
          <w:szCs w:val="24"/>
          <w:lang w:val="en-GB"/>
        </w:rPr>
        <w:t xml:space="preserve"> having to pursue proceedings to their final conclusion in each of the Respondent States which would impose a disproportionate burden upon the Applicant in terms of cost, time and administrative resources (Veriter v France, app. no. 31508/07, §59; M.S. v Croatia (No 2), app. no. 75450/12, §§123-125). Such a requirement would be contrary to the principle that the exhaustion of domestic remedies rule ought not to be applied in a manner that would impose an unreasonable or disproportionate burden on an applicant (e.g. McFarlane v Ireland [GC], app. no. 31333/06, §124; Gaglione &amp; ors. v Italy; app. nos. 45867/07 &amp; ors, §22). This Court has already acknowledged, in a similar context, that these considerations are relevant (Duarte Agostinho and Others v Portugal and Other, app. no. 39371/20, Communication from the Court, 30 November 2020, pp. 3-4).</w:t>
      </w:r>
    </w:p>
    <w:p w14:paraId="1AB6488E" w14:textId="77777777" w:rsidR="008D4DEB" w:rsidRPr="003C4874" w:rsidRDefault="008D4DEB">
      <w:pPr>
        <w:pStyle w:val="Paragraphedeliste"/>
        <w:numPr>
          <w:ilvl w:val="0"/>
          <w:numId w:val="7"/>
        </w:numPr>
        <w:spacing w:after="240" w:line="240" w:lineRule="auto"/>
        <w:contextualSpacing w:val="0"/>
        <w:jc w:val="both"/>
        <w:rPr>
          <w:rFonts w:ascii="Garamond" w:hAnsi="Garamond"/>
          <w:szCs w:val="24"/>
          <w:lang w:val="en-GB"/>
        </w:rPr>
      </w:pPr>
      <w:r w:rsidRPr="4ACEA68A">
        <w:rPr>
          <w:rFonts w:ascii="Garamond" w:hAnsi="Garamond"/>
          <w:szCs w:val="24"/>
          <w:lang w:val="en-GB"/>
        </w:rPr>
        <w:t>Second, compatibility of the ECT with energy transition required to avert dangerous climate change is a novel and supra-national issue (Hatton and Others v the United Kingdom [GC], app. no. 36022/97, Dissenting Opinion of Judges Costa, Ress, Türmen, Zupančič and Steiner). It is consistent with the principle of subsidiarity for the Applicant to have direct recourse to the Court in such circumstances as the Court is uniquely placed to provide guidance on the nature of the Respondent States’ obligations in this area of competing international commitments.</w:t>
      </w:r>
    </w:p>
    <w:p w14:paraId="5E0A3797" w14:textId="77777777" w:rsidR="008D4DEB" w:rsidRDefault="008D4DEB">
      <w:pPr>
        <w:pStyle w:val="Paragraphedeliste"/>
        <w:numPr>
          <w:ilvl w:val="0"/>
          <w:numId w:val="7"/>
        </w:numPr>
        <w:spacing w:after="240" w:line="240" w:lineRule="auto"/>
        <w:contextualSpacing w:val="0"/>
        <w:jc w:val="both"/>
        <w:rPr>
          <w:rFonts w:ascii="Garamond" w:hAnsi="Garamond"/>
          <w:szCs w:val="24"/>
          <w:lang w:val="en-GB"/>
        </w:rPr>
      </w:pPr>
      <w:r w:rsidRPr="4ACEA68A">
        <w:rPr>
          <w:rFonts w:ascii="Garamond" w:hAnsi="Garamond"/>
          <w:szCs w:val="24"/>
          <w:lang w:val="en-GB"/>
        </w:rPr>
        <w:t>See the Annex for the four further submissions on this issue.</w:t>
      </w:r>
    </w:p>
    <w:p w14:paraId="49038B0C" w14:textId="77777777" w:rsidR="008D4DEB" w:rsidRDefault="008D4DEB" w:rsidP="008D4DEB">
      <w:pPr>
        <w:rPr>
          <w:rFonts w:ascii="Garamond" w:hAnsi="Garamond"/>
          <w:lang w:val="en-GB"/>
        </w:rPr>
      </w:pPr>
      <w:r>
        <w:rPr>
          <w:rFonts w:ascii="Garamond" w:hAnsi="Garamond"/>
          <w:lang w:val="en-GB"/>
        </w:rPr>
        <w:br w:type="page"/>
      </w:r>
    </w:p>
    <w:p w14:paraId="27FA3A7B" w14:textId="77777777" w:rsidR="008D4DEB" w:rsidRPr="00470D3B" w:rsidRDefault="008D4DEB" w:rsidP="008D4DEB">
      <w:pPr>
        <w:pStyle w:val="Titre"/>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autoSpaceDE/>
        <w:autoSpaceDN/>
        <w:adjustRightInd/>
        <w:spacing w:before="120" w:after="240"/>
        <w:ind w:left="0"/>
        <w:jc w:val="center"/>
        <w:rPr>
          <w:rFonts w:eastAsiaTheme="majorEastAsia"/>
          <w:b/>
          <w:bCs/>
          <w:color w:val="046A74"/>
          <w:spacing w:val="-10"/>
          <w:kern w:val="28"/>
          <w:sz w:val="28"/>
          <w:lang w:val="en-US"/>
        </w:rPr>
      </w:pPr>
      <w:r w:rsidRPr="00470D3B">
        <w:rPr>
          <w:rFonts w:eastAsiaTheme="majorEastAsia"/>
          <w:b/>
          <w:bCs/>
          <w:color w:val="046A74"/>
          <w:spacing w:val="-10"/>
          <w:kern w:val="28"/>
          <w:sz w:val="28"/>
          <w:lang w:val="en-US"/>
        </w:rPr>
        <w:lastRenderedPageBreak/>
        <w:t>ANNEX TO THE APPLICATION FORM</w:t>
      </w:r>
    </w:p>
    <w:p w14:paraId="45A24278" w14:textId="77777777" w:rsidR="008D4DEB" w:rsidRPr="008F3A1A" w:rsidRDefault="008D4DEB">
      <w:pPr>
        <w:pStyle w:val="Titre1"/>
        <w:numPr>
          <w:ilvl w:val="0"/>
          <w:numId w:val="9"/>
        </w:numPr>
        <w:spacing w:after="120" w:line="360" w:lineRule="auto"/>
        <w:ind w:left="567" w:hanging="567"/>
        <w:rPr>
          <w:rFonts w:ascii="Garamond" w:hAnsi="Garamond"/>
          <w:b w:val="0"/>
          <w:bCs/>
          <w:smallCaps w:val="0"/>
          <w:u w:val="single"/>
          <w:lang w:val="en-GB"/>
        </w:rPr>
      </w:pPr>
      <w:r w:rsidRPr="008F3A1A">
        <w:rPr>
          <w:rFonts w:ascii="Garamond" w:hAnsi="Garamond"/>
          <w:bCs/>
          <w:u w:val="single"/>
          <w:lang w:val="en-GB"/>
        </w:rPr>
        <w:t>Introduction</w:t>
      </w:r>
    </w:p>
    <w:p w14:paraId="7CDCE1DD" w14:textId="77777777" w:rsidR="008D4DEB" w:rsidRPr="008F3A1A" w:rsidRDefault="008D4DEB">
      <w:pPr>
        <w:pStyle w:val="Paragraphedeliste"/>
        <w:numPr>
          <w:ilvl w:val="0"/>
          <w:numId w:val="8"/>
        </w:numPr>
        <w:spacing w:beforeLines="60" w:before="144" w:afterLines="60" w:after="144" w:line="360" w:lineRule="auto"/>
        <w:ind w:left="567" w:hanging="567"/>
        <w:contextualSpacing w:val="0"/>
        <w:jc w:val="both"/>
        <w:rPr>
          <w:rFonts w:ascii="Garamond" w:hAnsi="Garamond"/>
          <w:lang w:val="en-GB"/>
        </w:rPr>
      </w:pPr>
      <w:r w:rsidRPr="008F3A1A">
        <w:rPr>
          <w:rFonts w:ascii="Garamond" w:hAnsi="Garamond"/>
          <w:szCs w:val="24"/>
          <w:lang w:val="en-GB"/>
        </w:rPr>
        <w:t>This Annex accompanies the application form (“the Application”) and sets out the basis for the Applicant’</w:t>
      </w:r>
      <w:r>
        <w:rPr>
          <w:rFonts w:ascii="Garamond" w:hAnsi="Garamond"/>
          <w:szCs w:val="24"/>
          <w:lang w:val="en-GB"/>
        </w:rPr>
        <w:t>s</w:t>
      </w:r>
      <w:r w:rsidRPr="008F3A1A">
        <w:rPr>
          <w:rFonts w:ascii="Garamond" w:hAnsi="Garamond"/>
          <w:szCs w:val="24"/>
          <w:lang w:val="en-GB"/>
        </w:rPr>
        <w:t xml:space="preserve"> claim against the Respondent States.</w:t>
      </w:r>
    </w:p>
    <w:p w14:paraId="40D1C72F" w14:textId="77777777" w:rsidR="008D4DEB" w:rsidRPr="008F3A1A" w:rsidRDefault="008D4DEB">
      <w:pPr>
        <w:pStyle w:val="Titre1"/>
        <w:numPr>
          <w:ilvl w:val="0"/>
          <w:numId w:val="9"/>
        </w:numPr>
        <w:spacing w:after="120" w:line="360" w:lineRule="auto"/>
        <w:ind w:left="567" w:hanging="567"/>
        <w:rPr>
          <w:rFonts w:ascii="Garamond" w:hAnsi="Garamond"/>
          <w:b w:val="0"/>
          <w:bCs/>
          <w:smallCaps w:val="0"/>
          <w:u w:val="single"/>
          <w:lang w:val="en-GB"/>
        </w:rPr>
      </w:pPr>
      <w:r w:rsidRPr="008F3A1A">
        <w:rPr>
          <w:rFonts w:ascii="Garamond" w:hAnsi="Garamond"/>
          <w:bCs/>
          <w:u w:val="single"/>
          <w:lang w:val="en-GB"/>
        </w:rPr>
        <w:t xml:space="preserve">Legal reasoning </w:t>
      </w:r>
    </w:p>
    <w:p w14:paraId="4AD31F21" w14:textId="77777777" w:rsidR="008D4DEB" w:rsidRPr="003D0D5B" w:rsidRDefault="008D4DEB">
      <w:pPr>
        <w:pStyle w:val="Titre2"/>
        <w:numPr>
          <w:ilvl w:val="0"/>
          <w:numId w:val="9"/>
        </w:numPr>
        <w:ind w:left="567" w:hanging="567"/>
      </w:pPr>
      <w:r w:rsidRPr="003D0D5B">
        <w:t>Exhaustion of Domestic Remedies</w:t>
      </w:r>
    </w:p>
    <w:p w14:paraId="205E12A7" w14:textId="77777777" w:rsidR="008D4DEB" w:rsidRPr="008F3A1A" w:rsidRDefault="008D4DEB">
      <w:pPr>
        <w:pStyle w:val="Notedebasdepage"/>
        <w:numPr>
          <w:ilvl w:val="0"/>
          <w:numId w:val="8"/>
        </w:numPr>
        <w:spacing w:beforeLines="60" w:before="144" w:afterLines="60" w:after="144" w:line="360" w:lineRule="auto"/>
        <w:ind w:left="567" w:hanging="567"/>
        <w:jc w:val="both"/>
        <w:rPr>
          <w:rFonts w:ascii="Garamond" w:hAnsi="Garamond" w:cs="Times New Roman"/>
          <w:sz w:val="24"/>
          <w:szCs w:val="24"/>
          <w:lang w:val="en-GB"/>
        </w:rPr>
      </w:pPr>
      <w:r w:rsidRPr="008F3A1A">
        <w:rPr>
          <w:rFonts w:ascii="Garamond" w:hAnsi="Garamond" w:cs="Times New Roman"/>
          <w:sz w:val="24"/>
          <w:szCs w:val="24"/>
          <w:lang w:val="en-GB"/>
        </w:rPr>
        <w:t>The following paragraphs supplement</w:t>
      </w:r>
      <w:r>
        <w:rPr>
          <w:rFonts w:ascii="Garamond" w:hAnsi="Garamond" w:cs="Times New Roman"/>
          <w:sz w:val="24"/>
          <w:szCs w:val="24"/>
          <w:lang w:val="en-GB"/>
        </w:rPr>
        <w:t xml:space="preserve"> the first and second submissions in</w:t>
      </w:r>
      <w:r w:rsidRPr="008F3A1A">
        <w:rPr>
          <w:rFonts w:ascii="Garamond" w:hAnsi="Garamond" w:cs="Times New Roman"/>
          <w:sz w:val="24"/>
          <w:szCs w:val="24"/>
          <w:lang w:val="en-GB"/>
        </w:rPr>
        <w:t xml:space="preserve"> Section G of the Application</w:t>
      </w:r>
      <w:r>
        <w:rPr>
          <w:rFonts w:ascii="Garamond" w:hAnsi="Garamond" w:cs="Times New Roman"/>
          <w:sz w:val="24"/>
          <w:szCs w:val="24"/>
          <w:lang w:val="en-GB"/>
        </w:rPr>
        <w:t xml:space="preserve"> that no effective and available domestic remedies exist for the following reasons.</w:t>
      </w:r>
    </w:p>
    <w:p w14:paraId="53FE4617" w14:textId="77777777" w:rsidR="008D4DEB" w:rsidRPr="007E1AE2" w:rsidRDefault="008D4DEB">
      <w:pPr>
        <w:pStyle w:val="Notedebasdepage"/>
        <w:numPr>
          <w:ilvl w:val="0"/>
          <w:numId w:val="8"/>
        </w:numPr>
        <w:spacing w:beforeLines="60" w:before="144" w:afterLines="60" w:after="144" w:line="360" w:lineRule="auto"/>
        <w:ind w:left="567" w:hanging="567"/>
        <w:jc w:val="both"/>
        <w:rPr>
          <w:rFonts w:ascii="Garamond" w:hAnsi="Garamond" w:cs="Times New Roman"/>
          <w:sz w:val="24"/>
          <w:szCs w:val="24"/>
          <w:lang w:val="en-GB"/>
        </w:rPr>
      </w:pPr>
      <w:r>
        <w:rPr>
          <w:rFonts w:ascii="Garamond" w:hAnsi="Garamond"/>
          <w:b/>
          <w:bCs/>
          <w:sz w:val="24"/>
          <w:szCs w:val="24"/>
          <w:lang w:val="en-GB"/>
        </w:rPr>
        <w:t>Third</w:t>
      </w:r>
      <w:r w:rsidRPr="007E1AE2">
        <w:rPr>
          <w:rFonts w:ascii="Garamond" w:hAnsi="Garamond"/>
          <w:sz w:val="24"/>
          <w:szCs w:val="24"/>
          <w:lang w:val="en-GB"/>
        </w:rPr>
        <w:t>, the Applicant would have been unable to access remedies in many of the Respondent States. Climate litigation cases in a number of the Respondent States have been dismissed due to applicants having a lack of standing in domestic courts.</w:t>
      </w:r>
      <w:r w:rsidRPr="007E1AE2">
        <w:rPr>
          <w:rStyle w:val="Appelnotedebasdep"/>
          <w:rFonts w:ascii="Garamond" w:hAnsi="Garamond"/>
          <w:sz w:val="24"/>
          <w:szCs w:val="24"/>
          <w:lang w:val="en-GB"/>
        </w:rPr>
        <w:footnoteReference w:id="57"/>
      </w:r>
      <w:r w:rsidRPr="007E1AE2">
        <w:rPr>
          <w:rFonts w:ascii="Garamond" w:hAnsi="Garamond"/>
          <w:sz w:val="24"/>
          <w:szCs w:val="24"/>
          <w:lang w:val="en-GB"/>
        </w:rPr>
        <w:t xml:space="preserve"> Further, the ISDS arbitration mechanism under the ECT is not accessible to the Applicant and decisions </w:t>
      </w:r>
      <w:r w:rsidRPr="0012367D">
        <w:rPr>
          <w:rFonts w:ascii="Garamond" w:hAnsi="Garamond"/>
          <w:sz w:val="24"/>
          <w:szCs w:val="24"/>
          <w:lang w:val="en-GB"/>
        </w:rPr>
        <w:t>under the ECT are largely beyond the review of domestic courts.</w:t>
      </w:r>
    </w:p>
    <w:p w14:paraId="5CD3CDC0" w14:textId="77777777" w:rsidR="008D4DEB" w:rsidRPr="008F3A1A" w:rsidRDefault="008D4DEB">
      <w:pPr>
        <w:pStyle w:val="Notedebasdepage"/>
        <w:numPr>
          <w:ilvl w:val="0"/>
          <w:numId w:val="8"/>
        </w:numPr>
        <w:spacing w:beforeLines="60" w:before="144" w:afterLines="60" w:after="144" w:line="360" w:lineRule="auto"/>
        <w:ind w:left="567" w:hanging="567"/>
        <w:jc w:val="both"/>
        <w:rPr>
          <w:rFonts w:ascii="Garamond" w:hAnsi="Garamond" w:cs="Times New Roman"/>
          <w:sz w:val="24"/>
          <w:szCs w:val="24"/>
          <w:lang w:val="en-GB"/>
        </w:rPr>
      </w:pPr>
      <w:r>
        <w:rPr>
          <w:rFonts w:ascii="Garamond" w:hAnsi="Garamond"/>
          <w:b/>
          <w:bCs/>
          <w:sz w:val="24"/>
          <w:szCs w:val="24"/>
          <w:lang w:val="en-GB"/>
        </w:rPr>
        <w:t>Fourth</w:t>
      </w:r>
      <w:r w:rsidRPr="008F3A1A">
        <w:rPr>
          <w:rFonts w:ascii="Garamond" w:hAnsi="Garamond"/>
          <w:sz w:val="24"/>
          <w:szCs w:val="24"/>
          <w:lang w:val="en-GB"/>
        </w:rPr>
        <w:t>, the remedies in the Respondent States’ jurisdiction are not capable of providing redress in respect of the Application and do not offer reasonable prospects of success in that:</w:t>
      </w:r>
      <w:r w:rsidRPr="008F3A1A">
        <w:rPr>
          <w:rStyle w:val="Appelnotedebasdep"/>
          <w:rFonts w:ascii="Garamond" w:hAnsi="Garamond"/>
          <w:sz w:val="24"/>
          <w:szCs w:val="24"/>
          <w:lang w:val="en-GB"/>
        </w:rPr>
        <w:footnoteReference w:id="58"/>
      </w:r>
    </w:p>
    <w:p w14:paraId="44892015" w14:textId="77777777" w:rsidR="008D4DEB" w:rsidRPr="008F3A1A" w:rsidRDefault="008D4DEB">
      <w:pPr>
        <w:pStyle w:val="Notedebasdepage"/>
        <w:numPr>
          <w:ilvl w:val="1"/>
          <w:numId w:val="8"/>
        </w:numPr>
        <w:spacing w:beforeLines="60" w:before="144" w:afterLines="60" w:after="144" w:line="360" w:lineRule="auto"/>
        <w:ind w:left="709"/>
        <w:jc w:val="both"/>
        <w:rPr>
          <w:rFonts w:ascii="Garamond" w:hAnsi="Garamond" w:cs="Times New Roman"/>
          <w:sz w:val="24"/>
          <w:szCs w:val="24"/>
          <w:lang w:val="en-GB"/>
        </w:rPr>
      </w:pPr>
      <w:r w:rsidRPr="008F3A1A">
        <w:rPr>
          <w:rFonts w:ascii="Garamond" w:hAnsi="Garamond"/>
          <w:sz w:val="24"/>
          <w:szCs w:val="24"/>
          <w:lang w:val="en-GB"/>
        </w:rPr>
        <w:t>Domestic courts have often refrained from assessing the lawfulness of climate policies on the basis of deference to the executive and the separation of powers. Deference is particularly likely where commitments under international treaties are concerned, as this is traditionally considered part of the executive’s prerogative.</w:t>
      </w:r>
    </w:p>
    <w:p w14:paraId="5BA09D98" w14:textId="77777777" w:rsidR="008D4DEB" w:rsidRPr="008F3A1A" w:rsidRDefault="008D4DEB">
      <w:pPr>
        <w:pStyle w:val="Notedebasdepage"/>
        <w:numPr>
          <w:ilvl w:val="1"/>
          <w:numId w:val="8"/>
        </w:numPr>
        <w:spacing w:beforeLines="60" w:before="144" w:afterLines="60" w:after="144" w:line="360" w:lineRule="auto"/>
        <w:ind w:left="709"/>
        <w:jc w:val="both"/>
        <w:rPr>
          <w:rFonts w:ascii="Garamond" w:hAnsi="Garamond" w:cs="Times New Roman"/>
          <w:sz w:val="24"/>
          <w:szCs w:val="24"/>
          <w:lang w:val="en-GB"/>
        </w:rPr>
      </w:pPr>
      <w:r w:rsidRPr="008F3A1A">
        <w:rPr>
          <w:rFonts w:ascii="Garamond" w:hAnsi="Garamond"/>
          <w:sz w:val="24"/>
          <w:szCs w:val="24"/>
          <w:lang w:val="en-GB"/>
        </w:rPr>
        <w:t>Even where the theoretical possibility of challenging general climate policy exists, to the Applicant’</w:t>
      </w:r>
      <w:r>
        <w:rPr>
          <w:rFonts w:ascii="Garamond" w:hAnsi="Garamond"/>
          <w:sz w:val="24"/>
          <w:szCs w:val="24"/>
          <w:lang w:val="en-GB"/>
        </w:rPr>
        <w:t>s</w:t>
      </w:r>
      <w:r w:rsidRPr="008F3A1A">
        <w:rPr>
          <w:rFonts w:ascii="Garamond" w:hAnsi="Garamond"/>
          <w:sz w:val="24"/>
          <w:szCs w:val="24"/>
          <w:lang w:val="en-GB"/>
        </w:rPr>
        <w:t xml:space="preserve"> knowledge there have been no successful climate cases in relation to States’ individual energy policies, international commitments and/or impediments to the energy transition.</w:t>
      </w:r>
      <w:r w:rsidRPr="008F3A1A">
        <w:rPr>
          <w:rStyle w:val="Appelnotedebasdep"/>
          <w:rFonts w:ascii="Garamond" w:hAnsi="Garamond"/>
          <w:sz w:val="24"/>
          <w:szCs w:val="24"/>
          <w:lang w:val="en-GB"/>
        </w:rPr>
        <w:footnoteReference w:id="59"/>
      </w:r>
    </w:p>
    <w:p w14:paraId="3BCAB380" w14:textId="77777777" w:rsidR="008D4DEB" w:rsidRPr="008F3A1A" w:rsidRDefault="008D4DEB">
      <w:pPr>
        <w:pStyle w:val="Notedebasdepage"/>
        <w:numPr>
          <w:ilvl w:val="0"/>
          <w:numId w:val="8"/>
        </w:numPr>
        <w:spacing w:beforeLines="60" w:before="144" w:afterLines="60" w:after="144" w:line="360" w:lineRule="auto"/>
        <w:ind w:left="502"/>
        <w:jc w:val="both"/>
        <w:rPr>
          <w:rFonts w:ascii="Garamond" w:hAnsi="Garamond" w:cs="Times New Roman"/>
          <w:sz w:val="24"/>
          <w:szCs w:val="24"/>
          <w:lang w:val="en-GB"/>
        </w:rPr>
      </w:pPr>
      <w:r>
        <w:rPr>
          <w:rFonts w:ascii="Garamond" w:hAnsi="Garamond"/>
          <w:b/>
          <w:bCs/>
          <w:sz w:val="24"/>
          <w:szCs w:val="24"/>
          <w:lang w:val="en-GB"/>
        </w:rPr>
        <w:lastRenderedPageBreak/>
        <w:t>Fifth</w:t>
      </w:r>
      <w:r w:rsidRPr="008F3A1A">
        <w:rPr>
          <w:rFonts w:ascii="Garamond" w:hAnsi="Garamond"/>
          <w:sz w:val="24"/>
          <w:szCs w:val="24"/>
          <w:lang w:val="en-GB"/>
        </w:rPr>
        <w:t xml:space="preserve">, any proposed remedies would not be </w:t>
      </w:r>
      <w:r w:rsidRPr="008F3A1A">
        <w:rPr>
          <w:rFonts w:ascii="Garamond" w:hAnsi="Garamond"/>
          <w:i/>
          <w:iCs/>
          <w:sz w:val="24"/>
          <w:szCs w:val="24"/>
          <w:lang w:val="en-GB"/>
        </w:rPr>
        <w:t xml:space="preserve">“sufficiently certain” </w:t>
      </w:r>
      <w:r w:rsidRPr="008F3A1A">
        <w:rPr>
          <w:rFonts w:ascii="Garamond" w:hAnsi="Garamond"/>
          <w:sz w:val="24"/>
          <w:szCs w:val="24"/>
          <w:lang w:val="en-GB"/>
        </w:rPr>
        <w:t>and have not “</w:t>
      </w:r>
      <w:r w:rsidRPr="008F3A1A">
        <w:rPr>
          <w:rFonts w:ascii="Garamond" w:hAnsi="Garamond"/>
          <w:i/>
          <w:iCs/>
          <w:sz w:val="24"/>
          <w:szCs w:val="24"/>
          <w:lang w:val="en-GB"/>
        </w:rPr>
        <w:t xml:space="preserve">acquired a sufficient degree of legal certainty” </w:t>
      </w:r>
      <w:r w:rsidRPr="008F3A1A">
        <w:rPr>
          <w:rFonts w:ascii="Garamond" w:hAnsi="Garamond"/>
          <w:sz w:val="24"/>
          <w:szCs w:val="24"/>
          <w:lang w:val="en-GB"/>
        </w:rPr>
        <w:t>as there is no relevant domestic jurisprudence which confirms that a remedy would be available to the Applicant</w:t>
      </w:r>
      <w:r>
        <w:rPr>
          <w:rFonts w:ascii="Garamond" w:hAnsi="Garamond"/>
          <w:sz w:val="24"/>
          <w:szCs w:val="24"/>
          <w:lang w:val="en-GB"/>
        </w:rPr>
        <w:t>’s</w:t>
      </w:r>
      <w:r w:rsidRPr="008F3A1A">
        <w:rPr>
          <w:rFonts w:ascii="Garamond" w:hAnsi="Garamond"/>
          <w:sz w:val="24"/>
          <w:szCs w:val="24"/>
          <w:lang w:val="en-GB"/>
        </w:rPr>
        <w:t xml:space="preserve"> in any of the Respondent States.</w:t>
      </w:r>
      <w:r w:rsidRPr="008F3A1A">
        <w:rPr>
          <w:rStyle w:val="Appelnotedebasdep"/>
          <w:rFonts w:ascii="Garamond" w:hAnsi="Garamond"/>
          <w:sz w:val="24"/>
          <w:szCs w:val="24"/>
          <w:lang w:val="en-GB"/>
        </w:rPr>
        <w:footnoteReference w:id="60"/>
      </w:r>
    </w:p>
    <w:p w14:paraId="6A5502D3" w14:textId="77777777" w:rsidR="008D4DEB" w:rsidRPr="008F3A1A" w:rsidRDefault="008D4DEB">
      <w:pPr>
        <w:pStyle w:val="Notedebasdepage"/>
        <w:numPr>
          <w:ilvl w:val="0"/>
          <w:numId w:val="8"/>
        </w:numPr>
        <w:spacing w:beforeLines="60" w:before="144" w:afterLines="60" w:after="144" w:line="360" w:lineRule="auto"/>
        <w:ind w:left="502"/>
        <w:jc w:val="both"/>
        <w:rPr>
          <w:rFonts w:ascii="Garamond" w:hAnsi="Garamond" w:cs="Times New Roman"/>
          <w:sz w:val="24"/>
          <w:szCs w:val="24"/>
          <w:lang w:val="en-GB"/>
        </w:rPr>
      </w:pPr>
      <w:r>
        <w:rPr>
          <w:rFonts w:ascii="Garamond" w:hAnsi="Garamond"/>
          <w:b/>
          <w:bCs/>
          <w:sz w:val="24"/>
          <w:szCs w:val="24"/>
          <w:lang w:val="en-GB"/>
        </w:rPr>
        <w:t>Sixth</w:t>
      </w:r>
      <w:r w:rsidRPr="008F3A1A">
        <w:rPr>
          <w:rFonts w:ascii="Garamond" w:hAnsi="Garamond"/>
          <w:sz w:val="24"/>
          <w:szCs w:val="24"/>
          <w:lang w:val="en-GB"/>
        </w:rPr>
        <w:t>, it would entail unreasonable delay to require the Applicant to exhaust remedies in all Respondent States.</w:t>
      </w:r>
      <w:r w:rsidRPr="008F3A1A">
        <w:rPr>
          <w:rStyle w:val="Appelnotedebasdep"/>
          <w:rFonts w:ascii="Garamond" w:hAnsi="Garamond"/>
          <w:sz w:val="24"/>
          <w:szCs w:val="24"/>
          <w:lang w:val="en-GB"/>
        </w:rPr>
        <w:footnoteReference w:id="61"/>
      </w:r>
      <w:r w:rsidRPr="008F3A1A">
        <w:rPr>
          <w:rFonts w:ascii="Garamond" w:hAnsi="Garamond"/>
          <w:sz w:val="24"/>
          <w:szCs w:val="24"/>
          <w:lang w:val="en-GB"/>
        </w:rPr>
        <w:t xml:space="preserve"> The time required would undermine the effectiveness of any remedies available due to the urgency of the climate crisis.</w:t>
      </w:r>
    </w:p>
    <w:p w14:paraId="5A5A43E0" w14:textId="77777777" w:rsidR="008D4DEB" w:rsidRPr="008F3A1A" w:rsidRDefault="008D4DEB">
      <w:pPr>
        <w:pStyle w:val="Notedebasdepage"/>
        <w:numPr>
          <w:ilvl w:val="0"/>
          <w:numId w:val="8"/>
        </w:numPr>
        <w:spacing w:beforeLines="60" w:before="144" w:afterLines="60" w:after="144" w:line="360" w:lineRule="auto"/>
        <w:ind w:left="502"/>
        <w:jc w:val="both"/>
        <w:rPr>
          <w:rFonts w:ascii="Garamond" w:hAnsi="Garamond"/>
          <w:lang w:val="en-GB"/>
        </w:rPr>
      </w:pPr>
      <w:r w:rsidRPr="008F3A1A">
        <w:rPr>
          <w:rFonts w:ascii="Garamond" w:hAnsi="Garamond"/>
          <w:sz w:val="24"/>
          <w:szCs w:val="24"/>
          <w:lang w:val="en-GB"/>
        </w:rPr>
        <w:t>In those circumstances, Article 35(1) of the Convention provides no bar to the admissibility of the Application and, in any case, it is for the Respondent States to prove otherwise.</w:t>
      </w:r>
    </w:p>
    <w:p w14:paraId="53EABF71" w14:textId="77777777" w:rsidR="008D4DEB" w:rsidRPr="003D0D5B" w:rsidRDefault="008D4DEB">
      <w:pPr>
        <w:pStyle w:val="Titre2"/>
        <w:numPr>
          <w:ilvl w:val="0"/>
          <w:numId w:val="9"/>
        </w:numPr>
        <w:ind w:left="567" w:hanging="567"/>
        <w:rPr>
          <w:rFonts w:eastAsia="MS Mincho"/>
        </w:rPr>
      </w:pPr>
      <w:r w:rsidRPr="003D0D5B">
        <w:t>Jurisdiction of States</w:t>
      </w:r>
    </w:p>
    <w:p w14:paraId="6FBF2E6F" w14:textId="77777777" w:rsidR="008D4DEB" w:rsidRPr="008F3A1A" w:rsidRDefault="008D4DEB">
      <w:pPr>
        <w:numPr>
          <w:ilvl w:val="0"/>
          <w:numId w:val="8"/>
        </w:numPr>
        <w:spacing w:beforeLines="60" w:before="144" w:afterLines="60" w:after="144" w:line="360" w:lineRule="auto"/>
        <w:ind w:left="567" w:hanging="567"/>
        <w:jc w:val="both"/>
        <w:rPr>
          <w:rFonts w:ascii="Garamond" w:hAnsi="Garamond" w:cs="Times New Roman"/>
          <w:lang w:val="en-GB"/>
        </w:rPr>
      </w:pPr>
      <w:r>
        <w:rPr>
          <w:rFonts w:ascii="Garamond" w:hAnsi="Garamond"/>
          <w:lang w:val="en-GB"/>
        </w:rPr>
        <w:t xml:space="preserve">The Applicant is in the territorial jurisdiction of </w:t>
      </w:r>
      <w:r w:rsidRPr="003D0D5B">
        <w:rPr>
          <w:rFonts w:ascii="Garamond" w:hAnsi="Garamond"/>
          <w:i/>
          <w:iCs/>
          <w:lang w:val="en-GB"/>
        </w:rPr>
        <w:t>[adapted to each Application]</w:t>
      </w:r>
      <w:r w:rsidRPr="003D0D5B">
        <w:rPr>
          <w:rFonts w:ascii="Garamond" w:hAnsi="Garamond"/>
          <w:lang w:val="en-GB"/>
        </w:rPr>
        <w:t>,</w:t>
      </w:r>
      <w:r>
        <w:rPr>
          <w:rFonts w:ascii="Garamond" w:hAnsi="Garamond"/>
          <w:lang w:val="en-GB"/>
        </w:rPr>
        <w:t xml:space="preserve"> on whose territory </w:t>
      </w:r>
      <w:r w:rsidRPr="003D0D5B">
        <w:rPr>
          <w:rFonts w:ascii="Garamond" w:hAnsi="Garamond"/>
          <w:i/>
          <w:iCs/>
          <w:lang w:val="en-GB"/>
        </w:rPr>
        <w:t>[he/she]</w:t>
      </w:r>
      <w:r>
        <w:rPr>
          <w:rFonts w:ascii="Garamond" w:hAnsi="Garamond"/>
          <w:lang w:val="en-GB"/>
        </w:rPr>
        <w:t xml:space="preserve"> resides. </w:t>
      </w:r>
      <w:r w:rsidRPr="00DE6087">
        <w:rPr>
          <w:rFonts w:ascii="Garamond" w:hAnsi="Garamond"/>
          <w:lang w:val="en-GB"/>
        </w:rPr>
        <w:t xml:space="preserve">The </w:t>
      </w:r>
      <w:r w:rsidRPr="008F3A1A">
        <w:rPr>
          <w:rFonts w:ascii="Garamond" w:hAnsi="Garamond"/>
          <w:lang w:val="en-GB"/>
        </w:rPr>
        <w:t>Respondent States’ failures to regulate and/or limit their emissions as a</w:t>
      </w:r>
      <w:r w:rsidRPr="00DE6087">
        <w:rPr>
          <w:rFonts w:ascii="Garamond" w:hAnsi="Garamond"/>
          <w:lang w:val="en-GB"/>
        </w:rPr>
        <w:t xml:space="preserve"> result of their membership of the ECT </w:t>
      </w:r>
      <w:r>
        <w:rPr>
          <w:rFonts w:ascii="Garamond" w:hAnsi="Garamond"/>
          <w:lang w:val="en-GB"/>
        </w:rPr>
        <w:t xml:space="preserve">and to adequately regulate companies within their jurisdictions </w:t>
      </w:r>
      <w:r w:rsidRPr="003D0D5B">
        <w:rPr>
          <w:rFonts w:ascii="Garamond" w:hAnsi="Garamond"/>
          <w:lang w:val="en-GB"/>
        </w:rPr>
        <w:t>produce effects within [this State] so that with</w:t>
      </w:r>
      <w:r w:rsidRPr="008F3A1A">
        <w:rPr>
          <w:rFonts w:ascii="Garamond" w:hAnsi="Garamond"/>
          <w:lang w:val="en-GB"/>
        </w:rPr>
        <w:t xml:space="preserve"> regard to the context of climate change and the ECT, there are exceptional circumstances bringing the Applicant within the Respondent States’ jurisdiction.</w:t>
      </w:r>
    </w:p>
    <w:p w14:paraId="1465571B" w14:textId="77777777" w:rsidR="008D4DEB" w:rsidRPr="008F3A1A" w:rsidRDefault="008D4DEB">
      <w:pPr>
        <w:numPr>
          <w:ilvl w:val="0"/>
          <w:numId w:val="8"/>
        </w:numPr>
        <w:spacing w:beforeLines="60" w:before="144" w:afterLines="60" w:after="144" w:line="360" w:lineRule="auto"/>
        <w:ind w:left="567" w:hanging="567"/>
        <w:jc w:val="both"/>
        <w:rPr>
          <w:rFonts w:ascii="Garamond" w:hAnsi="Garamond" w:cs="Times New Roman"/>
          <w:lang w:val="en-GB"/>
        </w:rPr>
      </w:pPr>
      <w:r w:rsidRPr="008F3A1A">
        <w:rPr>
          <w:rFonts w:ascii="Garamond" w:hAnsi="Garamond"/>
          <w:lang w:val="en-GB"/>
        </w:rPr>
        <w:t xml:space="preserve">Article 1 provides: </w:t>
      </w:r>
      <w:r w:rsidRPr="008F3A1A">
        <w:rPr>
          <w:rFonts w:ascii="Garamond" w:hAnsi="Garamond"/>
          <w:i/>
          <w:iCs/>
          <w:lang w:val="en-GB"/>
        </w:rPr>
        <w:t>“The High Contracting Parties shall secure to everyone within their jurisdiction the rights and freedoms defined in Section I of this Convention”</w:t>
      </w:r>
      <w:r w:rsidRPr="008F3A1A">
        <w:rPr>
          <w:rFonts w:ascii="Garamond" w:hAnsi="Garamond"/>
          <w:lang w:val="en-GB"/>
        </w:rPr>
        <w:t>. Jurisdiction is primarily territorial but extraterritorial jurisdiction can be established in exceptional circumstances where there is a sufficient factual and/or legal connection between the individual and the Contracting State.</w:t>
      </w:r>
      <w:r w:rsidRPr="008F3A1A">
        <w:rPr>
          <w:rStyle w:val="Appelnotedebasdep"/>
          <w:rFonts w:ascii="Garamond" w:hAnsi="Garamond"/>
          <w:lang w:val="en-GB"/>
        </w:rPr>
        <w:footnoteReference w:id="62"/>
      </w:r>
      <w:r w:rsidRPr="008F3A1A">
        <w:rPr>
          <w:rFonts w:ascii="Garamond" w:hAnsi="Garamond"/>
          <w:lang w:val="en-GB"/>
        </w:rPr>
        <w:t xml:space="preserve"> It is thus well-established that “</w:t>
      </w:r>
      <w:r w:rsidRPr="008F3A1A">
        <w:rPr>
          <w:rFonts w:ascii="Garamond" w:hAnsi="Garamond"/>
          <w:i/>
          <w:iCs/>
          <w:lang w:val="en-GB"/>
        </w:rPr>
        <w:t>acts of the States Parties performed, or producing effects, outside their territory can constitute an exercise of jurisdiction”</w:t>
      </w:r>
      <w:r w:rsidRPr="008F3A1A">
        <w:rPr>
          <w:rFonts w:ascii="Garamond" w:hAnsi="Garamond"/>
          <w:lang w:val="en-GB"/>
        </w:rPr>
        <w:t>.</w:t>
      </w:r>
      <w:r w:rsidRPr="008F3A1A">
        <w:rPr>
          <w:rStyle w:val="Appelnotedebasdep"/>
          <w:rFonts w:ascii="Garamond" w:hAnsi="Garamond"/>
          <w:lang w:val="en-GB"/>
        </w:rPr>
        <w:footnoteReference w:id="63"/>
      </w:r>
      <w:r w:rsidRPr="008F3A1A">
        <w:rPr>
          <w:rFonts w:ascii="Garamond" w:hAnsi="Garamond"/>
          <w:lang w:val="en-GB"/>
        </w:rPr>
        <w:t xml:space="preserve"> Whether such a connection exists rests </w:t>
      </w:r>
      <w:r>
        <w:rPr>
          <w:rFonts w:ascii="Garamond" w:hAnsi="Garamond"/>
          <w:lang w:val="en-GB"/>
        </w:rPr>
        <w:t>up</w:t>
      </w:r>
      <w:r w:rsidRPr="008F3A1A">
        <w:rPr>
          <w:rFonts w:ascii="Garamond" w:hAnsi="Garamond"/>
          <w:lang w:val="en-GB"/>
        </w:rPr>
        <w:t>on the application of a range of principles and factors to the particular facts of a given case.</w:t>
      </w:r>
      <w:r w:rsidRPr="008F3A1A">
        <w:rPr>
          <w:rStyle w:val="Appelnotedebasdep"/>
          <w:rFonts w:ascii="Garamond" w:hAnsi="Garamond"/>
          <w:lang w:val="en-GB"/>
        </w:rPr>
        <w:footnoteReference w:id="64"/>
      </w:r>
    </w:p>
    <w:p w14:paraId="0ECB672D" w14:textId="77777777" w:rsidR="008D4DEB" w:rsidRPr="008F3A1A" w:rsidRDefault="008D4DEB">
      <w:pPr>
        <w:numPr>
          <w:ilvl w:val="0"/>
          <w:numId w:val="8"/>
        </w:numPr>
        <w:spacing w:beforeLines="60" w:before="144" w:afterLines="60" w:after="144" w:line="360" w:lineRule="auto"/>
        <w:ind w:left="567" w:hanging="567"/>
        <w:jc w:val="both"/>
        <w:rPr>
          <w:rFonts w:ascii="Garamond" w:hAnsi="Garamond" w:cs="Times New Roman"/>
          <w:lang w:val="en-GB"/>
        </w:rPr>
      </w:pPr>
      <w:r w:rsidRPr="008F3A1A">
        <w:rPr>
          <w:rFonts w:ascii="Garamond" w:hAnsi="Garamond"/>
          <w:lang w:val="en-GB"/>
        </w:rPr>
        <w:t>Exceptional circumstances have commonly involved: (i) acts of diplomatic agents; (ii) exercise of public powers of a territorial State; (iii) use of force and exercise of physical control; (iv) control over territory; and (v) specific procedural circumstances, but are not limited to such situations.</w:t>
      </w:r>
      <w:r w:rsidRPr="008F3A1A">
        <w:rPr>
          <w:rStyle w:val="Appelnotedebasdep"/>
          <w:rFonts w:ascii="Garamond" w:hAnsi="Garamond"/>
          <w:lang w:val="en-GB"/>
        </w:rPr>
        <w:footnoteReference w:id="65"/>
      </w:r>
    </w:p>
    <w:p w14:paraId="2C41DDF3" w14:textId="77777777" w:rsidR="008D4DEB" w:rsidRPr="008F3A1A" w:rsidRDefault="008D4DEB">
      <w:pPr>
        <w:numPr>
          <w:ilvl w:val="0"/>
          <w:numId w:val="8"/>
        </w:numPr>
        <w:spacing w:beforeLines="60" w:before="144" w:afterLines="60" w:after="144" w:line="360" w:lineRule="auto"/>
        <w:ind w:left="567" w:hanging="567"/>
        <w:jc w:val="both"/>
        <w:rPr>
          <w:rFonts w:ascii="Garamond" w:hAnsi="Garamond" w:cs="Times New Roman"/>
          <w:lang w:val="en-GB"/>
        </w:rPr>
      </w:pPr>
      <w:r w:rsidRPr="008F3A1A">
        <w:rPr>
          <w:rFonts w:ascii="Garamond" w:hAnsi="Garamond"/>
          <w:lang w:val="en-GB"/>
        </w:rPr>
        <w:lastRenderedPageBreak/>
        <w:t xml:space="preserve">At all times it must be remembered that the Convention is a special instrument of human rights protection and European public order, hence Article 1 should be interpreted so as to avoid a </w:t>
      </w:r>
      <w:r w:rsidRPr="008F3A1A">
        <w:rPr>
          <w:rFonts w:ascii="Garamond" w:hAnsi="Garamond"/>
          <w:i/>
          <w:iCs/>
          <w:lang w:val="en-GB"/>
        </w:rPr>
        <w:t>“regrettable vacuum in the system of human-rights protection”</w:t>
      </w:r>
      <w:r w:rsidRPr="008F3A1A">
        <w:rPr>
          <w:rFonts w:ascii="Garamond" w:hAnsi="Garamond"/>
          <w:lang w:val="en-GB"/>
        </w:rPr>
        <w:t xml:space="preserve"> within the Convention legal space.</w:t>
      </w:r>
      <w:r w:rsidRPr="008F3A1A">
        <w:rPr>
          <w:rStyle w:val="Appelnotedebasdep"/>
          <w:rFonts w:ascii="Garamond" w:hAnsi="Garamond"/>
          <w:lang w:val="en-GB"/>
        </w:rPr>
        <w:footnoteReference w:id="66"/>
      </w:r>
    </w:p>
    <w:p w14:paraId="75EC7A62" w14:textId="77777777" w:rsidR="008D4DEB" w:rsidRPr="008F3A1A" w:rsidRDefault="008D4DEB">
      <w:pPr>
        <w:numPr>
          <w:ilvl w:val="0"/>
          <w:numId w:val="8"/>
        </w:numPr>
        <w:spacing w:beforeLines="60" w:before="144" w:afterLines="60" w:after="144" w:line="360" w:lineRule="auto"/>
        <w:ind w:left="567" w:hanging="567"/>
        <w:jc w:val="both"/>
        <w:rPr>
          <w:rFonts w:ascii="Garamond" w:hAnsi="Garamond" w:cs="Times New Roman"/>
          <w:lang w:val="en-GB"/>
        </w:rPr>
      </w:pPr>
      <w:r w:rsidRPr="008F3A1A">
        <w:rPr>
          <w:rFonts w:ascii="Garamond" w:hAnsi="Garamond"/>
          <w:lang w:val="en-GB"/>
        </w:rPr>
        <w:t xml:space="preserve">The Applicant </w:t>
      </w:r>
      <w:r>
        <w:rPr>
          <w:rFonts w:ascii="Garamond" w:hAnsi="Garamond"/>
          <w:lang w:val="en-GB"/>
        </w:rPr>
        <w:t>is</w:t>
      </w:r>
      <w:r w:rsidRPr="008F3A1A">
        <w:rPr>
          <w:rFonts w:ascii="Garamond" w:hAnsi="Garamond"/>
          <w:lang w:val="en-GB"/>
        </w:rPr>
        <w:t xml:space="preserve"> thus within the jurisdiction of the </w:t>
      </w:r>
      <w:r w:rsidRPr="003D0D5B">
        <w:rPr>
          <w:rFonts w:ascii="Garamond" w:hAnsi="Garamond"/>
          <w:lang w:val="en-GB"/>
        </w:rPr>
        <w:t>Respondent State in which [he/she]</w:t>
      </w:r>
      <w:r w:rsidRPr="009B7021">
        <w:rPr>
          <w:rFonts w:ascii="Garamond" w:hAnsi="Garamond"/>
          <w:lang w:val="en-GB"/>
        </w:rPr>
        <w:t xml:space="preserve"> resides</w:t>
      </w:r>
      <w:r w:rsidRPr="008F3A1A">
        <w:rPr>
          <w:rFonts w:ascii="Garamond" w:hAnsi="Garamond"/>
          <w:lang w:val="en-GB"/>
        </w:rPr>
        <w:t>, and, in relation to the other Respondent States, within their extraterritorial jurisdiction for the reasons below.</w:t>
      </w:r>
    </w:p>
    <w:p w14:paraId="0C1FE9E8" w14:textId="77777777" w:rsidR="008D4DEB" w:rsidRPr="008F3A1A" w:rsidRDefault="008D4DEB">
      <w:pPr>
        <w:numPr>
          <w:ilvl w:val="0"/>
          <w:numId w:val="8"/>
        </w:numPr>
        <w:spacing w:beforeLines="60" w:before="144" w:afterLines="60" w:after="144" w:line="360" w:lineRule="auto"/>
        <w:ind w:left="567" w:hanging="567"/>
        <w:jc w:val="both"/>
        <w:rPr>
          <w:rFonts w:ascii="Garamond" w:hAnsi="Garamond" w:cs="Times New Roman"/>
          <w:lang w:val="en-GB"/>
        </w:rPr>
      </w:pPr>
      <w:r w:rsidRPr="008F3A1A">
        <w:rPr>
          <w:rFonts w:ascii="Garamond" w:hAnsi="Garamond"/>
          <w:lang w:val="en-GB"/>
        </w:rPr>
        <w:t>The Applicant rel</w:t>
      </w:r>
      <w:r>
        <w:rPr>
          <w:rFonts w:ascii="Garamond" w:hAnsi="Garamond"/>
          <w:lang w:val="en-GB"/>
        </w:rPr>
        <w:t>ies</w:t>
      </w:r>
      <w:r w:rsidRPr="008F3A1A">
        <w:rPr>
          <w:rFonts w:ascii="Garamond" w:hAnsi="Garamond"/>
          <w:lang w:val="en-GB"/>
        </w:rPr>
        <w:t xml:space="preserve"> on special features in the context of climate change and the ECT that militate in favour of finding jurisdiction, namely:</w:t>
      </w:r>
    </w:p>
    <w:p w14:paraId="3F5D16C3" w14:textId="77777777" w:rsidR="008D4DEB" w:rsidRPr="008F3A1A" w:rsidRDefault="008D4DEB">
      <w:pPr>
        <w:numPr>
          <w:ilvl w:val="1"/>
          <w:numId w:val="8"/>
        </w:numPr>
        <w:spacing w:beforeLines="60" w:before="144" w:afterLines="60" w:after="144" w:line="360" w:lineRule="auto"/>
        <w:ind w:left="851"/>
        <w:jc w:val="both"/>
        <w:rPr>
          <w:rFonts w:ascii="Garamond" w:hAnsi="Garamond" w:cs="Times New Roman"/>
          <w:lang w:val="en-GB"/>
        </w:rPr>
      </w:pPr>
      <w:r w:rsidRPr="008F3A1A">
        <w:rPr>
          <w:rFonts w:ascii="Garamond" w:hAnsi="Garamond"/>
          <w:lang w:val="en-GB"/>
        </w:rPr>
        <w:t xml:space="preserve">Climate change is a responsibility of all States in that each has contributed to and must take action to limit global warming </w:t>
      </w:r>
      <w:r w:rsidRPr="00315275">
        <w:rPr>
          <w:rFonts w:ascii="Garamond" w:hAnsi="Garamond"/>
          <w:lang w:val="en-GB"/>
        </w:rPr>
        <w:t>to 1.5°C, including</w:t>
      </w:r>
      <w:r w:rsidRPr="008F3A1A">
        <w:rPr>
          <w:rFonts w:ascii="Garamond" w:hAnsi="Garamond"/>
          <w:lang w:val="en-GB"/>
        </w:rPr>
        <w:t xml:space="preserve"> taking steps towards energy transition. </w:t>
      </w:r>
    </w:p>
    <w:p w14:paraId="713F1A7E" w14:textId="77777777" w:rsidR="008D4DEB" w:rsidRPr="008F3A1A" w:rsidRDefault="008D4DEB">
      <w:pPr>
        <w:numPr>
          <w:ilvl w:val="1"/>
          <w:numId w:val="8"/>
        </w:numPr>
        <w:spacing w:beforeLines="60" w:before="144" w:afterLines="60" w:after="144" w:line="360" w:lineRule="auto"/>
        <w:ind w:left="851"/>
        <w:jc w:val="both"/>
        <w:rPr>
          <w:rFonts w:ascii="Garamond" w:hAnsi="Garamond" w:cs="Times New Roman"/>
          <w:lang w:val="en-GB"/>
        </w:rPr>
      </w:pPr>
      <w:r w:rsidRPr="008F3A1A">
        <w:rPr>
          <w:rFonts w:ascii="Garamond" w:hAnsi="Garamond"/>
          <w:lang w:val="en-GB"/>
        </w:rPr>
        <w:t>The gravity of the climate impacts is significant and will be catastrophic if global warming surpasses 1.5°C</w:t>
      </w:r>
      <w:r>
        <w:rPr>
          <w:rFonts w:ascii="Garamond" w:hAnsi="Garamond"/>
          <w:lang w:val="en-GB"/>
        </w:rPr>
        <w:t xml:space="preserve"> (and even more so 2°C)</w:t>
      </w:r>
      <w:r w:rsidRPr="008F3A1A">
        <w:rPr>
          <w:rFonts w:ascii="Garamond" w:hAnsi="Garamond"/>
          <w:lang w:val="en-GB"/>
        </w:rPr>
        <w:t>.</w:t>
      </w:r>
    </w:p>
    <w:p w14:paraId="1CE843F2" w14:textId="77777777" w:rsidR="008D4DEB" w:rsidRPr="007E1AE2" w:rsidRDefault="008D4DEB">
      <w:pPr>
        <w:numPr>
          <w:ilvl w:val="1"/>
          <w:numId w:val="8"/>
        </w:numPr>
        <w:spacing w:beforeLines="60" w:before="144" w:afterLines="60" w:after="144" w:line="360" w:lineRule="auto"/>
        <w:ind w:left="851"/>
        <w:jc w:val="both"/>
        <w:rPr>
          <w:rFonts w:ascii="Garamond" w:hAnsi="Garamond" w:cs="Times New Roman"/>
          <w:lang w:val="en-GB"/>
        </w:rPr>
      </w:pPr>
      <w:r w:rsidRPr="007E1AE2">
        <w:rPr>
          <w:rFonts w:ascii="Garamond" w:hAnsi="Garamond"/>
          <w:lang w:val="en-GB"/>
        </w:rPr>
        <w:t>The Applicant only assert</w:t>
      </w:r>
      <w:r>
        <w:rPr>
          <w:rFonts w:ascii="Garamond" w:hAnsi="Garamond"/>
          <w:lang w:val="en-GB"/>
        </w:rPr>
        <w:t>s</w:t>
      </w:r>
      <w:r w:rsidRPr="007E1AE2">
        <w:rPr>
          <w:rFonts w:ascii="Garamond" w:hAnsi="Garamond"/>
          <w:lang w:val="en-GB"/>
        </w:rPr>
        <w:t xml:space="preserve"> jurisdiction with respect to a very limited range of positive obligations which relate to the Respondent States’ membership of the ECT and its consistency with their obligations to regulate and/or limit their emissions </w:t>
      </w:r>
      <w:r>
        <w:rPr>
          <w:rFonts w:ascii="Garamond" w:hAnsi="Garamond"/>
          <w:lang w:val="en-GB"/>
        </w:rPr>
        <w:t xml:space="preserve">and </w:t>
      </w:r>
      <w:r w:rsidRPr="006E1A21">
        <w:rPr>
          <w:rFonts w:ascii="Garamond" w:hAnsi="Garamond" w:cs="Times New Roman"/>
          <w:lang w:val="en-GB"/>
        </w:rPr>
        <w:t xml:space="preserve">not to impede other States’ efforts </w:t>
      </w:r>
      <w:r w:rsidRPr="006E1A21">
        <w:rPr>
          <w:rFonts w:ascii="Garamond" w:hAnsi="Garamond"/>
          <w:lang w:val="en-GB"/>
        </w:rPr>
        <w:t>to reduce their territorial emissions</w:t>
      </w:r>
      <w:r w:rsidRPr="007E1AE2">
        <w:rPr>
          <w:rFonts w:ascii="Garamond" w:hAnsi="Garamond"/>
          <w:lang w:val="en-GB"/>
        </w:rPr>
        <w:t xml:space="preserve"> under the Convention.</w:t>
      </w:r>
      <w:r w:rsidRPr="007E1AE2">
        <w:rPr>
          <w:rStyle w:val="Appelnotedebasdep"/>
          <w:rFonts w:ascii="Garamond" w:hAnsi="Garamond"/>
          <w:lang w:val="en-GB"/>
        </w:rPr>
        <w:footnoteReference w:id="67"/>
      </w:r>
    </w:p>
    <w:p w14:paraId="15834B3F" w14:textId="77777777" w:rsidR="008D4DEB" w:rsidRPr="007E1AE2" w:rsidRDefault="008D4DEB">
      <w:pPr>
        <w:numPr>
          <w:ilvl w:val="1"/>
          <w:numId w:val="8"/>
        </w:numPr>
        <w:spacing w:beforeLines="60" w:before="144" w:afterLines="60" w:after="144" w:line="360" w:lineRule="auto"/>
        <w:ind w:left="851"/>
        <w:jc w:val="both"/>
        <w:rPr>
          <w:rFonts w:ascii="Garamond" w:hAnsi="Garamond" w:cs="Times New Roman"/>
          <w:lang w:val="en-GB"/>
        </w:rPr>
      </w:pPr>
      <w:r w:rsidRPr="008F3A1A">
        <w:rPr>
          <w:rFonts w:ascii="Garamond" w:hAnsi="Garamond"/>
          <w:lang w:val="en-GB"/>
        </w:rPr>
        <w:t xml:space="preserve">The </w:t>
      </w:r>
      <w:r w:rsidRPr="007E1AE2">
        <w:rPr>
          <w:rFonts w:ascii="Garamond" w:hAnsi="Garamond"/>
          <w:lang w:val="en-GB"/>
        </w:rPr>
        <w:t>Applicant ha</w:t>
      </w:r>
      <w:r>
        <w:rPr>
          <w:rFonts w:ascii="Garamond" w:hAnsi="Garamond"/>
          <w:lang w:val="en-GB"/>
        </w:rPr>
        <w:t xml:space="preserve">s </w:t>
      </w:r>
      <w:r w:rsidRPr="007E1AE2">
        <w:rPr>
          <w:rFonts w:ascii="Garamond" w:hAnsi="Garamond"/>
          <w:lang w:val="en-GB"/>
        </w:rPr>
        <w:t>no alternative means of holding the Respondent States to account or preventing impacts of climate change associated with States’ membership of the ECT.</w:t>
      </w:r>
    </w:p>
    <w:p w14:paraId="68EA696E" w14:textId="77777777" w:rsidR="008D4DEB" w:rsidRPr="007E1AE2" w:rsidRDefault="008D4DEB">
      <w:pPr>
        <w:numPr>
          <w:ilvl w:val="1"/>
          <w:numId w:val="8"/>
        </w:numPr>
        <w:spacing w:beforeLines="60" w:before="144" w:afterLines="60" w:after="144" w:line="360" w:lineRule="auto"/>
        <w:ind w:left="851"/>
        <w:jc w:val="both"/>
        <w:rPr>
          <w:rFonts w:ascii="Garamond" w:hAnsi="Garamond" w:cs="Times New Roman"/>
          <w:lang w:val="en-GB"/>
        </w:rPr>
      </w:pPr>
      <w:r w:rsidRPr="007E1AE2">
        <w:rPr>
          <w:rFonts w:ascii="Garamond" w:hAnsi="Garamond"/>
          <w:lang w:val="en-GB"/>
        </w:rPr>
        <w:t xml:space="preserve">The Respondent States </w:t>
      </w:r>
      <w:r w:rsidRPr="00A574D5">
        <w:rPr>
          <w:rFonts w:ascii="Garamond" w:hAnsi="Garamond"/>
          <w:lang w:val="en-GB"/>
        </w:rPr>
        <w:t xml:space="preserve">and other ECT Contracting Parties </w:t>
      </w:r>
      <w:r w:rsidRPr="007E1AE2">
        <w:rPr>
          <w:rFonts w:ascii="Garamond" w:hAnsi="Garamond"/>
          <w:lang w:val="en-GB"/>
        </w:rPr>
        <w:t>must undertake deep and urgent emissions reductions and steps towards an energy transition, which are frustrated by their membership of the ECT.</w:t>
      </w:r>
    </w:p>
    <w:p w14:paraId="03DB8DFC" w14:textId="77777777" w:rsidR="008D4DEB" w:rsidRPr="008F3A1A" w:rsidRDefault="008D4DEB">
      <w:pPr>
        <w:numPr>
          <w:ilvl w:val="0"/>
          <w:numId w:val="8"/>
        </w:numPr>
        <w:spacing w:beforeLines="60" w:before="144" w:afterLines="60" w:after="144" w:line="360" w:lineRule="auto"/>
        <w:ind w:left="502"/>
        <w:jc w:val="both"/>
        <w:rPr>
          <w:rFonts w:ascii="Garamond" w:hAnsi="Garamond" w:cs="Times New Roman"/>
          <w:lang w:val="en-GB"/>
        </w:rPr>
      </w:pPr>
      <w:r w:rsidRPr="008F3A1A">
        <w:rPr>
          <w:rFonts w:ascii="Garamond" w:hAnsi="Garamond"/>
          <w:lang w:val="en-GB"/>
        </w:rPr>
        <w:t>Whilst prominent in other cases, a focus on physical power or control as determinative of jurisdiction would be inappropriate given the nature of climate change as involving indirect transboundary environmental harm and its multilateral dimension. Rather, the Applicant rel</w:t>
      </w:r>
      <w:r>
        <w:rPr>
          <w:rFonts w:ascii="Garamond" w:hAnsi="Garamond"/>
          <w:lang w:val="en-GB"/>
        </w:rPr>
        <w:t>ies</w:t>
      </w:r>
      <w:r w:rsidRPr="008F3A1A">
        <w:rPr>
          <w:rFonts w:ascii="Garamond" w:hAnsi="Garamond"/>
          <w:lang w:val="en-GB"/>
        </w:rPr>
        <w:t xml:space="preserve"> on a number of other factors, derived from the Court’s jurisprudence, which support a finding of jurisdiction, namely:</w:t>
      </w:r>
    </w:p>
    <w:p w14:paraId="18E2BB0A" w14:textId="77777777" w:rsidR="008D4DEB" w:rsidRPr="008F3A1A" w:rsidRDefault="008D4DEB">
      <w:pPr>
        <w:numPr>
          <w:ilvl w:val="1"/>
          <w:numId w:val="8"/>
        </w:numPr>
        <w:spacing w:beforeLines="60" w:before="144" w:afterLines="60" w:after="144" w:line="360" w:lineRule="auto"/>
        <w:ind w:left="786"/>
        <w:jc w:val="both"/>
        <w:rPr>
          <w:rFonts w:ascii="Garamond" w:hAnsi="Garamond" w:cs="Times New Roman"/>
          <w:lang w:val="en-GB"/>
        </w:rPr>
      </w:pPr>
      <w:r w:rsidRPr="008F3A1A">
        <w:rPr>
          <w:rFonts w:ascii="Garamond" w:hAnsi="Garamond"/>
          <w:u w:val="single"/>
          <w:lang w:val="en-GB"/>
        </w:rPr>
        <w:lastRenderedPageBreak/>
        <w:t>Capacity</w:t>
      </w:r>
      <w:r w:rsidRPr="008F3A1A">
        <w:rPr>
          <w:rFonts w:ascii="Garamond" w:hAnsi="Garamond"/>
          <w:lang w:val="en-GB"/>
        </w:rPr>
        <w:t>:</w:t>
      </w:r>
      <w:r w:rsidRPr="008F3A1A">
        <w:rPr>
          <w:rStyle w:val="Appelnotedebasdep"/>
          <w:rFonts w:ascii="Garamond" w:hAnsi="Garamond"/>
          <w:lang w:val="en-GB"/>
        </w:rPr>
        <w:footnoteReference w:id="68"/>
      </w:r>
      <w:r w:rsidRPr="008F3A1A">
        <w:rPr>
          <w:rFonts w:ascii="Garamond" w:hAnsi="Garamond"/>
          <w:lang w:val="en-GB"/>
        </w:rPr>
        <w:t xml:space="preserve"> Given the multilateral dimension of climate change and the ECT, protection of the Applicant’</w:t>
      </w:r>
      <w:r>
        <w:rPr>
          <w:rFonts w:ascii="Garamond" w:hAnsi="Garamond"/>
          <w:lang w:val="en-GB"/>
        </w:rPr>
        <w:t>s</w:t>
      </w:r>
      <w:r w:rsidRPr="008F3A1A">
        <w:rPr>
          <w:rFonts w:ascii="Garamond" w:hAnsi="Garamond"/>
          <w:lang w:val="en-GB"/>
        </w:rPr>
        <w:t xml:space="preserve"> interest</w:t>
      </w:r>
      <w:r>
        <w:rPr>
          <w:rFonts w:ascii="Garamond" w:hAnsi="Garamond"/>
          <w:lang w:val="en-GB"/>
        </w:rPr>
        <w:t>s</w:t>
      </w:r>
      <w:r w:rsidRPr="008F3A1A">
        <w:rPr>
          <w:rFonts w:ascii="Garamond" w:hAnsi="Garamond"/>
          <w:lang w:val="en-GB"/>
        </w:rPr>
        <w:t xml:space="preserve"> requires all the Respondent States to ensure </w:t>
      </w:r>
      <w:r>
        <w:rPr>
          <w:rFonts w:ascii="Garamond" w:hAnsi="Garamond"/>
          <w:lang w:val="en-GB"/>
        </w:rPr>
        <w:t xml:space="preserve">that </w:t>
      </w:r>
      <w:r w:rsidRPr="008F3A1A">
        <w:rPr>
          <w:rFonts w:ascii="Garamond" w:hAnsi="Garamond"/>
          <w:lang w:val="en-GB"/>
        </w:rPr>
        <w:t xml:space="preserve">their obligations and/or membership under the ECT do not impede the rapid reduction of their </w:t>
      </w:r>
      <w:r>
        <w:rPr>
          <w:rFonts w:ascii="Garamond" w:hAnsi="Garamond"/>
          <w:lang w:val="en-GB"/>
        </w:rPr>
        <w:t xml:space="preserve">and other States’ </w:t>
      </w:r>
      <w:r w:rsidRPr="008F3A1A">
        <w:rPr>
          <w:rFonts w:ascii="Garamond" w:hAnsi="Garamond"/>
          <w:lang w:val="en-GB"/>
        </w:rPr>
        <w:t>emissions and the speed of their energy transition in a manner inconsistent with achieving the LTTG of 1.5°C.</w:t>
      </w:r>
      <w:r>
        <w:rPr>
          <w:rFonts w:ascii="Garamond" w:hAnsi="Garamond"/>
          <w:lang w:val="en-GB"/>
        </w:rPr>
        <w:t xml:space="preserve"> </w:t>
      </w:r>
    </w:p>
    <w:p w14:paraId="4D2E34D7" w14:textId="77777777" w:rsidR="008D4DEB" w:rsidRPr="008F3A1A" w:rsidRDefault="008D4DEB">
      <w:pPr>
        <w:numPr>
          <w:ilvl w:val="1"/>
          <w:numId w:val="8"/>
        </w:numPr>
        <w:spacing w:beforeLines="60" w:before="144" w:afterLines="60" w:after="144" w:line="360" w:lineRule="auto"/>
        <w:ind w:left="786"/>
        <w:jc w:val="both"/>
        <w:rPr>
          <w:rFonts w:ascii="Garamond" w:hAnsi="Garamond" w:cs="Times New Roman"/>
          <w:lang w:val="en-GB"/>
        </w:rPr>
      </w:pPr>
      <w:r w:rsidRPr="008F3A1A">
        <w:rPr>
          <w:rFonts w:ascii="Garamond" w:eastAsia="Calibri" w:hAnsi="Garamond"/>
          <w:u w:val="single"/>
          <w:lang w:val="en-GB"/>
        </w:rPr>
        <w:t>Causation</w:t>
      </w:r>
      <w:r w:rsidRPr="008F3A1A">
        <w:rPr>
          <w:rFonts w:ascii="Garamond" w:eastAsia="Calibri" w:hAnsi="Garamond"/>
          <w:lang w:val="en-GB"/>
        </w:rPr>
        <w:t>:</w:t>
      </w:r>
      <w:r w:rsidRPr="008F3A1A">
        <w:rPr>
          <w:rStyle w:val="Appelnotedebasdep"/>
          <w:rFonts w:ascii="Garamond" w:eastAsia="Calibri" w:hAnsi="Garamond"/>
          <w:lang w:val="en-GB"/>
        </w:rPr>
        <w:footnoteReference w:id="69"/>
      </w:r>
      <w:r w:rsidRPr="008F3A1A">
        <w:rPr>
          <w:rFonts w:ascii="Garamond" w:eastAsia="Calibri" w:hAnsi="Garamond"/>
          <w:lang w:val="en-GB"/>
        </w:rPr>
        <w:t xml:space="preserve"> Respondent States’ omissions to prevent the effect of the ECT in impeding emissions reductions and energy transition materially contribute to the risk </w:t>
      </w:r>
      <w:r>
        <w:rPr>
          <w:rFonts w:ascii="Garamond" w:eastAsia="Calibri" w:hAnsi="Garamond"/>
          <w:lang w:val="en-GB"/>
        </w:rPr>
        <w:t xml:space="preserve">that </w:t>
      </w:r>
      <w:r w:rsidRPr="008F3A1A">
        <w:rPr>
          <w:rFonts w:ascii="Garamond" w:eastAsia="Calibri" w:hAnsi="Garamond"/>
          <w:lang w:val="en-GB"/>
        </w:rPr>
        <w:t xml:space="preserve">global warming will exceed </w:t>
      </w:r>
      <w:r w:rsidRPr="008F3A1A">
        <w:rPr>
          <w:rFonts w:ascii="Garamond" w:hAnsi="Garamond"/>
          <w:lang w:val="en-GB"/>
        </w:rPr>
        <w:t>the LTTG of 1.5°C and the corresponding impacts on the Applicant’</w:t>
      </w:r>
      <w:r>
        <w:rPr>
          <w:rFonts w:ascii="Garamond" w:hAnsi="Garamond"/>
          <w:lang w:val="en-GB"/>
        </w:rPr>
        <w:t>s</w:t>
      </w:r>
      <w:r w:rsidRPr="008F3A1A">
        <w:rPr>
          <w:rFonts w:ascii="Garamond" w:hAnsi="Garamond"/>
          <w:lang w:val="en-GB"/>
        </w:rPr>
        <w:t xml:space="preserve"> rights.</w:t>
      </w:r>
      <w:r w:rsidRPr="008F3A1A">
        <w:rPr>
          <w:rStyle w:val="Appelnotedebasdep"/>
          <w:rFonts w:ascii="Garamond" w:hAnsi="Garamond"/>
          <w:lang w:val="en-GB"/>
        </w:rPr>
        <w:footnoteReference w:id="70"/>
      </w:r>
      <w:r w:rsidRPr="008F3A1A">
        <w:rPr>
          <w:rFonts w:ascii="Garamond" w:hAnsi="Garamond"/>
          <w:lang w:val="en-GB"/>
        </w:rPr>
        <w:t xml:space="preserve"> The multilateral dimension of climate change and the </w:t>
      </w:r>
      <w:r>
        <w:rPr>
          <w:rFonts w:ascii="Garamond" w:hAnsi="Garamond"/>
          <w:lang w:val="en-GB"/>
        </w:rPr>
        <w:t>ECT</w:t>
      </w:r>
      <w:r w:rsidRPr="008F3A1A">
        <w:rPr>
          <w:rFonts w:ascii="Garamond" w:hAnsi="Garamond"/>
          <w:lang w:val="en-GB"/>
        </w:rPr>
        <w:t xml:space="preserve"> mean that extraterritorial and territorial Respondent States stand in the same causal relationship with the Applicant’</w:t>
      </w:r>
      <w:r>
        <w:rPr>
          <w:rFonts w:ascii="Garamond" w:hAnsi="Garamond"/>
          <w:lang w:val="en-GB"/>
        </w:rPr>
        <w:t>s</w:t>
      </w:r>
      <w:r w:rsidRPr="008F3A1A">
        <w:rPr>
          <w:rFonts w:ascii="Garamond" w:hAnsi="Garamond"/>
          <w:lang w:val="en-GB"/>
        </w:rPr>
        <w:t xml:space="preserve"> rights in terms of the risk of harm caused by their omissions.</w:t>
      </w:r>
    </w:p>
    <w:p w14:paraId="00ADFD84" w14:textId="77777777" w:rsidR="008D4DEB" w:rsidRPr="008F3A1A" w:rsidRDefault="008D4DEB">
      <w:pPr>
        <w:numPr>
          <w:ilvl w:val="1"/>
          <w:numId w:val="8"/>
        </w:numPr>
        <w:spacing w:beforeLines="60" w:before="144" w:afterLines="60" w:after="144" w:line="360" w:lineRule="auto"/>
        <w:ind w:left="786"/>
        <w:jc w:val="both"/>
        <w:rPr>
          <w:rFonts w:ascii="Garamond" w:hAnsi="Garamond" w:cs="Times New Roman"/>
          <w:lang w:val="en-GB"/>
        </w:rPr>
      </w:pPr>
      <w:r w:rsidRPr="008F3A1A">
        <w:rPr>
          <w:rFonts w:ascii="Garamond" w:hAnsi="Garamond"/>
          <w:u w:val="single"/>
          <w:lang w:val="en-GB"/>
        </w:rPr>
        <w:t>Foreseeability</w:t>
      </w:r>
      <w:r w:rsidRPr="008F3A1A">
        <w:rPr>
          <w:rFonts w:ascii="Garamond" w:hAnsi="Garamond"/>
          <w:lang w:val="en-GB"/>
        </w:rPr>
        <w:t>:</w:t>
      </w:r>
      <w:r w:rsidRPr="008F3A1A">
        <w:rPr>
          <w:rStyle w:val="Appelnotedebasdep"/>
          <w:rFonts w:ascii="Garamond" w:hAnsi="Garamond"/>
          <w:lang w:val="en-GB"/>
        </w:rPr>
        <w:footnoteReference w:id="71"/>
      </w:r>
      <w:r w:rsidRPr="008F3A1A">
        <w:rPr>
          <w:rFonts w:ascii="Garamond" w:hAnsi="Garamond"/>
          <w:lang w:val="en-GB"/>
        </w:rPr>
        <w:t xml:space="preserve"> The Respondent States have been aware of the occurrence and effects of climate change since 1992 at the latest.</w:t>
      </w:r>
      <w:r w:rsidRPr="008F3A1A">
        <w:rPr>
          <w:rStyle w:val="Appelnotedebasdep"/>
          <w:rFonts w:ascii="Garamond" w:hAnsi="Garamond"/>
          <w:lang w:val="en-GB"/>
        </w:rPr>
        <w:footnoteReference w:id="72"/>
      </w:r>
      <w:r w:rsidRPr="008F3A1A">
        <w:rPr>
          <w:rFonts w:ascii="Garamond" w:hAnsi="Garamond"/>
          <w:lang w:val="en-GB"/>
        </w:rPr>
        <w:t xml:space="preserve"> The need to undertake </w:t>
      </w:r>
      <w:r>
        <w:rPr>
          <w:rFonts w:ascii="Garamond" w:hAnsi="Garamond"/>
          <w:lang w:val="en-GB"/>
        </w:rPr>
        <w:t>urgent</w:t>
      </w:r>
      <w:r w:rsidRPr="008F3A1A">
        <w:rPr>
          <w:rFonts w:ascii="Garamond" w:hAnsi="Garamond"/>
          <w:lang w:val="en-GB"/>
        </w:rPr>
        <w:t xml:space="preserve"> emissions reductions and an energy transition, and the impact of the ECT in frustrating such action was entirely foreseeable.</w:t>
      </w:r>
      <w:r w:rsidRPr="008F3A1A">
        <w:rPr>
          <w:rStyle w:val="Appelnotedebasdep"/>
          <w:rFonts w:ascii="Garamond" w:hAnsi="Garamond"/>
          <w:lang w:val="en-GB"/>
        </w:rPr>
        <w:footnoteReference w:id="73"/>
      </w:r>
      <w:r w:rsidRPr="008F3A1A">
        <w:rPr>
          <w:rFonts w:ascii="Garamond" w:hAnsi="Garamond"/>
          <w:lang w:val="en-GB"/>
        </w:rPr>
        <w:t xml:space="preserve"> </w:t>
      </w:r>
    </w:p>
    <w:p w14:paraId="2DE36987" w14:textId="77777777" w:rsidR="008D4DEB" w:rsidRPr="007E1AE2" w:rsidRDefault="008D4DEB">
      <w:pPr>
        <w:numPr>
          <w:ilvl w:val="1"/>
          <w:numId w:val="8"/>
        </w:numPr>
        <w:spacing w:beforeLines="60" w:before="144" w:afterLines="60" w:after="144" w:line="360" w:lineRule="auto"/>
        <w:ind w:left="786"/>
        <w:jc w:val="both"/>
        <w:rPr>
          <w:rFonts w:ascii="Garamond" w:hAnsi="Garamond" w:cs="Times New Roman"/>
          <w:lang w:val="en-GB"/>
        </w:rPr>
      </w:pPr>
      <w:r w:rsidRPr="007E1AE2">
        <w:rPr>
          <w:rFonts w:ascii="Garamond" w:hAnsi="Garamond"/>
          <w:u w:val="single"/>
          <w:lang w:val="en-GB"/>
        </w:rPr>
        <w:t>Duration</w:t>
      </w:r>
      <w:r w:rsidRPr="007E1AE2">
        <w:rPr>
          <w:rFonts w:ascii="Garamond" w:hAnsi="Garamond"/>
          <w:lang w:val="en-GB"/>
        </w:rPr>
        <w:t xml:space="preserve">: The Respondent States’ contributions to climate change have been long-lasting and will persist for decades into </w:t>
      </w:r>
      <w:r w:rsidRPr="00DE6087">
        <w:rPr>
          <w:rFonts w:ascii="Garamond" w:hAnsi="Garamond"/>
          <w:lang w:val="en-GB"/>
        </w:rPr>
        <w:t>future</w:t>
      </w:r>
      <w:r>
        <w:rPr>
          <w:rFonts w:ascii="Garamond" w:hAnsi="Garamond"/>
          <w:lang w:val="en-GB"/>
        </w:rPr>
        <w:t>,</w:t>
      </w:r>
      <w:r w:rsidRPr="00DE6087">
        <w:rPr>
          <w:rFonts w:ascii="Garamond" w:hAnsi="Garamond"/>
          <w:lang w:val="en-GB"/>
        </w:rPr>
        <w:t xml:space="preserve"> </w:t>
      </w:r>
      <w:r>
        <w:rPr>
          <w:rFonts w:ascii="Garamond" w:hAnsi="Garamond"/>
          <w:lang w:val="en-GB"/>
        </w:rPr>
        <w:t>as global warming results from the cumulative emissions</w:t>
      </w:r>
      <w:r w:rsidRPr="007E1AE2">
        <w:rPr>
          <w:rFonts w:ascii="Garamond" w:hAnsi="Garamond"/>
          <w:lang w:val="en-GB"/>
        </w:rPr>
        <w:t>.</w:t>
      </w:r>
      <w:r w:rsidRPr="007E1AE2">
        <w:rPr>
          <w:rStyle w:val="Appelnotedebasdep"/>
          <w:rFonts w:ascii="Garamond" w:hAnsi="Garamond"/>
          <w:lang w:val="en-GB"/>
        </w:rPr>
        <w:footnoteReference w:id="74"/>
      </w:r>
      <w:r w:rsidRPr="007E1AE2">
        <w:rPr>
          <w:rFonts w:ascii="Garamond" w:hAnsi="Garamond"/>
          <w:lang w:val="en-GB"/>
        </w:rPr>
        <w:t xml:space="preserve"> These effects are expected to </w:t>
      </w:r>
      <w:r>
        <w:rPr>
          <w:rFonts w:ascii="Garamond" w:hAnsi="Garamond"/>
          <w:lang w:val="en-GB"/>
        </w:rPr>
        <w:t xml:space="preserve">be greatly aggravated </w:t>
      </w:r>
      <w:r w:rsidRPr="007E1AE2">
        <w:rPr>
          <w:rFonts w:ascii="Garamond" w:hAnsi="Garamond"/>
          <w:lang w:val="en-GB"/>
        </w:rPr>
        <w:t xml:space="preserve">should the scope of the ECT be </w:t>
      </w:r>
      <w:r>
        <w:rPr>
          <w:rFonts w:ascii="Garamond" w:hAnsi="Garamond"/>
          <w:lang w:val="en-GB"/>
        </w:rPr>
        <w:t xml:space="preserve">maintained or </w:t>
      </w:r>
      <w:r w:rsidRPr="007E1AE2">
        <w:rPr>
          <w:rFonts w:ascii="Garamond" w:hAnsi="Garamond"/>
          <w:lang w:val="en-GB"/>
        </w:rPr>
        <w:t>geographically expanded.</w:t>
      </w:r>
    </w:p>
    <w:p w14:paraId="085418D8" w14:textId="77777777" w:rsidR="008D4DEB" w:rsidRPr="008F3A1A" w:rsidRDefault="008D4DEB">
      <w:pPr>
        <w:numPr>
          <w:ilvl w:val="1"/>
          <w:numId w:val="8"/>
        </w:numPr>
        <w:spacing w:beforeLines="60" w:before="144" w:afterLines="60" w:after="144" w:line="360" w:lineRule="auto"/>
        <w:ind w:left="786"/>
        <w:jc w:val="both"/>
        <w:rPr>
          <w:rFonts w:ascii="Garamond" w:hAnsi="Garamond" w:cs="Times New Roman"/>
          <w:lang w:val="en-GB"/>
        </w:rPr>
      </w:pPr>
      <w:bookmarkStart w:id="35" w:name="_Hlk102757894"/>
      <w:r w:rsidRPr="008F3A1A">
        <w:rPr>
          <w:rFonts w:ascii="Garamond" w:hAnsi="Garamond"/>
          <w:u w:val="single"/>
          <w:lang w:val="en-GB"/>
        </w:rPr>
        <w:t>Control over activities within territory and companies within jurisdiction</w:t>
      </w:r>
      <w:r w:rsidRPr="008F3A1A">
        <w:rPr>
          <w:rFonts w:ascii="Garamond" w:hAnsi="Garamond"/>
          <w:lang w:val="en-GB"/>
        </w:rPr>
        <w:t>: The Respondent States exercise control over fossil fuel activities within their territory which are protected by the ECT</w:t>
      </w:r>
      <w:bookmarkEnd w:id="35"/>
      <w:r w:rsidRPr="008F3A1A">
        <w:rPr>
          <w:rFonts w:ascii="Garamond" w:hAnsi="Garamond"/>
          <w:lang w:val="en-GB"/>
        </w:rPr>
        <w:t xml:space="preserve">, </w:t>
      </w:r>
      <w:r w:rsidRPr="008F3A1A">
        <w:rPr>
          <w:rFonts w:ascii="Garamond" w:hAnsi="Garamond"/>
          <w:lang w:val="en-GB"/>
        </w:rPr>
        <w:lastRenderedPageBreak/>
        <w:t>as well as over companies within their jurisdiction which may challenge climate action of other States</w:t>
      </w:r>
      <w:r>
        <w:rPr>
          <w:rFonts w:ascii="Garamond" w:hAnsi="Garamond"/>
          <w:lang w:val="en-GB"/>
        </w:rPr>
        <w:t xml:space="preserve"> under the </w:t>
      </w:r>
      <w:r w:rsidRPr="008F3A1A">
        <w:rPr>
          <w:rFonts w:ascii="Garamond" w:hAnsi="Garamond"/>
          <w:lang w:val="en-GB"/>
        </w:rPr>
        <w:t>ECT’s ISDS mechanism.</w:t>
      </w:r>
      <w:r w:rsidRPr="008F3A1A">
        <w:rPr>
          <w:rStyle w:val="Appelnotedebasdep"/>
          <w:rFonts w:ascii="Garamond" w:hAnsi="Garamond"/>
          <w:lang w:val="en-GB"/>
        </w:rPr>
        <w:footnoteReference w:id="75"/>
      </w:r>
    </w:p>
    <w:p w14:paraId="1D49C94F" w14:textId="77777777" w:rsidR="008D4DEB" w:rsidRPr="008F3A1A" w:rsidRDefault="008D4DEB">
      <w:pPr>
        <w:numPr>
          <w:ilvl w:val="1"/>
          <w:numId w:val="8"/>
        </w:numPr>
        <w:spacing w:beforeLines="60" w:before="144" w:afterLines="60" w:after="144" w:line="360" w:lineRule="auto"/>
        <w:ind w:left="786"/>
        <w:jc w:val="both"/>
        <w:rPr>
          <w:rFonts w:ascii="Garamond" w:hAnsi="Garamond" w:cs="Times New Roman"/>
          <w:lang w:val="en-GB"/>
        </w:rPr>
      </w:pPr>
      <w:r w:rsidRPr="008F3A1A">
        <w:rPr>
          <w:rFonts w:ascii="Garamond" w:hAnsi="Garamond"/>
          <w:u w:val="single"/>
          <w:lang w:val="en-GB"/>
        </w:rPr>
        <w:t>Relevant rules of international law</w:t>
      </w:r>
      <w:r w:rsidRPr="008F3A1A">
        <w:rPr>
          <w:rFonts w:ascii="Garamond" w:hAnsi="Garamond"/>
          <w:lang w:val="en-GB"/>
        </w:rPr>
        <w:t>:</w:t>
      </w:r>
      <w:r w:rsidRPr="008F3A1A">
        <w:rPr>
          <w:rStyle w:val="Appelnotedebasdep"/>
          <w:rFonts w:ascii="Garamond" w:hAnsi="Garamond"/>
          <w:lang w:val="en-GB"/>
        </w:rPr>
        <w:footnoteReference w:id="76"/>
      </w:r>
      <w:r w:rsidRPr="008F3A1A">
        <w:rPr>
          <w:rFonts w:ascii="Garamond" w:hAnsi="Garamond"/>
          <w:lang w:val="en-GB"/>
        </w:rPr>
        <w:t xml:space="preserve"> A finding of no jurisdiction would release the Respondent States from accountability under the Convention as regards transboundary harm caused by activities protected under the ECT and would impede the Applicant’</w:t>
      </w:r>
      <w:r>
        <w:rPr>
          <w:rFonts w:ascii="Garamond" w:hAnsi="Garamond"/>
          <w:lang w:val="en-GB"/>
        </w:rPr>
        <w:t>s</w:t>
      </w:r>
      <w:r w:rsidRPr="008F3A1A">
        <w:rPr>
          <w:rFonts w:ascii="Garamond" w:hAnsi="Garamond"/>
          <w:lang w:val="en-GB"/>
        </w:rPr>
        <w:t xml:space="preserve"> ability to access remedies, contrary to the prevention/no-harm principle and</w:t>
      </w:r>
      <w:r>
        <w:rPr>
          <w:rFonts w:ascii="Garamond" w:hAnsi="Garamond"/>
          <w:lang w:val="en-GB"/>
        </w:rPr>
        <w:t xml:space="preserve"> the right of access to justice under environmental law, </w:t>
      </w:r>
      <w:r>
        <w:rPr>
          <w:rFonts w:ascii="Garamond" w:hAnsi="Garamond"/>
          <w:i/>
          <w:lang w:val="en-GB"/>
        </w:rPr>
        <w:t>e.g.</w:t>
      </w:r>
      <w:r>
        <w:rPr>
          <w:rFonts w:ascii="Garamond" w:hAnsi="Garamond"/>
          <w:lang w:val="en-GB"/>
        </w:rPr>
        <w:t>,</w:t>
      </w:r>
      <w:r w:rsidRPr="008F3A1A">
        <w:rPr>
          <w:rFonts w:ascii="Garamond" w:hAnsi="Garamond"/>
          <w:lang w:val="en-GB"/>
        </w:rPr>
        <w:t xml:space="preserve"> Articl</w:t>
      </w:r>
      <w:r>
        <w:rPr>
          <w:rFonts w:ascii="Garamond" w:hAnsi="Garamond"/>
          <w:lang w:val="en-GB"/>
        </w:rPr>
        <w:t>es 1, 3 and 9</w:t>
      </w:r>
      <w:r w:rsidRPr="008F3A1A">
        <w:rPr>
          <w:rFonts w:ascii="Garamond" w:hAnsi="Garamond"/>
          <w:lang w:val="en-GB"/>
        </w:rPr>
        <w:t xml:space="preserve"> of the Aarhus Convention respectively.</w:t>
      </w:r>
    </w:p>
    <w:p w14:paraId="32BCABB0" w14:textId="77777777" w:rsidR="008D4DEB" w:rsidRPr="008F3A1A" w:rsidRDefault="008D4DEB">
      <w:pPr>
        <w:numPr>
          <w:ilvl w:val="0"/>
          <w:numId w:val="8"/>
        </w:numPr>
        <w:spacing w:after="200" w:line="360" w:lineRule="auto"/>
        <w:ind w:left="502"/>
        <w:jc w:val="both"/>
        <w:rPr>
          <w:rFonts w:ascii="Garamond" w:hAnsi="Garamond"/>
          <w:lang w:val="en-GB"/>
        </w:rPr>
      </w:pPr>
      <w:r w:rsidRPr="008F3A1A">
        <w:rPr>
          <w:rFonts w:ascii="Garamond" w:hAnsi="Garamond"/>
          <w:lang w:val="en-GB"/>
        </w:rPr>
        <w:t xml:space="preserve">For these reasons, it is averred that the Applicant </w:t>
      </w:r>
      <w:r>
        <w:rPr>
          <w:rFonts w:ascii="Garamond" w:hAnsi="Garamond"/>
          <w:lang w:val="en-GB"/>
        </w:rPr>
        <w:t>is</w:t>
      </w:r>
      <w:r w:rsidRPr="008F3A1A">
        <w:rPr>
          <w:rFonts w:ascii="Garamond" w:hAnsi="Garamond"/>
          <w:lang w:val="en-GB"/>
        </w:rPr>
        <w:t xml:space="preserve"> within the jurisdiction of the Respondent States. To find otherwise would create a regrettable vacuum in the system of human rights protection within the Convention legal space.</w:t>
      </w:r>
    </w:p>
    <w:p w14:paraId="0B1341D1" w14:textId="77777777" w:rsidR="008D4DEB" w:rsidRPr="003D0D5B" w:rsidRDefault="008D4DEB">
      <w:pPr>
        <w:pStyle w:val="Titre2"/>
        <w:numPr>
          <w:ilvl w:val="0"/>
          <w:numId w:val="9"/>
        </w:numPr>
        <w:ind w:left="567" w:hanging="567"/>
      </w:pPr>
      <w:r w:rsidRPr="003D0D5B">
        <w:t>Victim status</w:t>
      </w:r>
    </w:p>
    <w:p w14:paraId="7CD0939A" w14:textId="77777777" w:rsidR="008D4DEB" w:rsidRPr="008F3A1A" w:rsidRDefault="008D4DEB">
      <w:pPr>
        <w:pStyle w:val="Paragraphedeliste"/>
        <w:numPr>
          <w:ilvl w:val="0"/>
          <w:numId w:val="8"/>
        </w:numPr>
        <w:spacing w:beforeLines="60" w:before="144" w:afterLines="60" w:after="144" w:line="360" w:lineRule="auto"/>
        <w:ind w:left="567" w:hanging="567"/>
        <w:contextualSpacing w:val="0"/>
        <w:jc w:val="both"/>
        <w:rPr>
          <w:rFonts w:ascii="Garamond" w:hAnsi="Garamond" w:cs="Times New Roman"/>
          <w:szCs w:val="24"/>
          <w:lang w:val="en-GB"/>
        </w:rPr>
      </w:pPr>
      <w:r w:rsidRPr="008F3A1A">
        <w:rPr>
          <w:rFonts w:ascii="Garamond" w:hAnsi="Garamond" w:cs="Times New Roman"/>
          <w:szCs w:val="24"/>
          <w:lang w:val="en-GB"/>
        </w:rPr>
        <w:t>Under Article 34 of the Convention, in order to establish that the Applicant</w:t>
      </w:r>
      <w:r>
        <w:rPr>
          <w:rFonts w:ascii="Garamond" w:hAnsi="Garamond" w:cs="Times New Roman"/>
          <w:szCs w:val="24"/>
          <w:lang w:val="en-GB"/>
        </w:rPr>
        <w:t xml:space="preserve"> is an</w:t>
      </w:r>
      <w:r w:rsidRPr="008F3A1A">
        <w:rPr>
          <w:rFonts w:ascii="Garamond" w:hAnsi="Garamond" w:cs="Times New Roman"/>
          <w:szCs w:val="24"/>
          <w:lang w:val="en-GB"/>
        </w:rPr>
        <w:t xml:space="preserve"> </w:t>
      </w:r>
      <w:r w:rsidRPr="008F3A1A">
        <w:rPr>
          <w:rFonts w:ascii="Garamond" w:hAnsi="Garamond" w:cs="Times New Roman"/>
          <w:i/>
          <w:szCs w:val="24"/>
          <w:lang w:val="en-GB"/>
        </w:rPr>
        <w:t>actual</w:t>
      </w:r>
      <w:r w:rsidRPr="008F3A1A">
        <w:rPr>
          <w:rFonts w:ascii="Garamond" w:hAnsi="Garamond" w:cs="Times New Roman"/>
          <w:szCs w:val="24"/>
          <w:lang w:val="en-GB"/>
        </w:rPr>
        <w:t xml:space="preserve"> victim </w:t>
      </w:r>
      <w:r w:rsidRPr="003D0D5B">
        <w:rPr>
          <w:rFonts w:ascii="Garamond" w:hAnsi="Garamond" w:cs="Times New Roman"/>
          <w:iCs/>
          <w:szCs w:val="24"/>
          <w:lang w:val="en-GB"/>
        </w:rPr>
        <w:t>[he/she]</w:t>
      </w:r>
      <w:r w:rsidRPr="003D0D5B">
        <w:rPr>
          <w:rFonts w:ascii="Garamond" w:hAnsi="Garamond" w:cs="Times New Roman"/>
          <w:i/>
          <w:szCs w:val="24"/>
          <w:lang w:val="en-GB"/>
        </w:rPr>
        <w:t xml:space="preserve"> </w:t>
      </w:r>
      <w:r w:rsidRPr="003D0D5B">
        <w:rPr>
          <w:rFonts w:ascii="Garamond" w:hAnsi="Garamond" w:cs="Times New Roman"/>
          <w:szCs w:val="24"/>
          <w:lang w:val="en-GB"/>
        </w:rPr>
        <w:t xml:space="preserve">must demonstrate that </w:t>
      </w:r>
      <w:r w:rsidRPr="003D0D5B">
        <w:rPr>
          <w:rFonts w:ascii="Garamond" w:hAnsi="Garamond" w:cs="Times New Roman"/>
          <w:iCs/>
          <w:szCs w:val="24"/>
          <w:lang w:val="en-GB"/>
        </w:rPr>
        <w:t>[he/she]</w:t>
      </w:r>
      <w:r w:rsidRPr="003D0D5B">
        <w:rPr>
          <w:rFonts w:ascii="Garamond" w:hAnsi="Garamond" w:cs="Times New Roman"/>
          <w:i/>
          <w:szCs w:val="24"/>
          <w:lang w:val="en-GB"/>
        </w:rPr>
        <w:t xml:space="preserve"> </w:t>
      </w:r>
      <w:r w:rsidRPr="003D0D5B">
        <w:rPr>
          <w:rFonts w:ascii="Garamond" w:hAnsi="Garamond" w:cs="Times New Roman"/>
          <w:szCs w:val="24"/>
          <w:lang w:val="en-GB"/>
        </w:rPr>
        <w:t>is “</w:t>
      </w:r>
      <w:r w:rsidRPr="003D0D5B">
        <w:rPr>
          <w:rFonts w:ascii="Garamond" w:hAnsi="Garamond" w:cs="Times New Roman"/>
          <w:i/>
          <w:szCs w:val="24"/>
          <w:lang w:val="en-GB"/>
        </w:rPr>
        <w:t>directly affected</w:t>
      </w:r>
      <w:r w:rsidRPr="003D0D5B">
        <w:rPr>
          <w:rFonts w:ascii="Garamond" w:hAnsi="Garamond" w:cs="Times New Roman"/>
          <w:szCs w:val="24"/>
          <w:lang w:val="en-GB"/>
        </w:rPr>
        <w:t>” by the alleged violation of the Convention</w:t>
      </w:r>
      <w:r w:rsidRPr="003D0D5B">
        <w:rPr>
          <w:rStyle w:val="Appelnotedebasdep"/>
          <w:rFonts w:ascii="Garamond" w:hAnsi="Garamond"/>
          <w:szCs w:val="24"/>
          <w:lang w:val="en-GB"/>
        </w:rPr>
        <w:footnoteReference w:id="77"/>
      </w:r>
      <w:r w:rsidRPr="003D0D5B">
        <w:rPr>
          <w:rFonts w:ascii="Garamond" w:hAnsi="Garamond" w:cs="Times New Roman"/>
          <w:szCs w:val="24"/>
          <w:lang w:val="en-GB"/>
        </w:rPr>
        <w:t xml:space="preserve"> and that a violation of the Convention is “</w:t>
      </w:r>
      <w:r w:rsidRPr="003D0D5B">
        <w:rPr>
          <w:rFonts w:ascii="Garamond" w:hAnsi="Garamond" w:cs="Times New Roman"/>
          <w:i/>
          <w:szCs w:val="24"/>
          <w:lang w:val="en-GB"/>
        </w:rPr>
        <w:t>conceivable</w:t>
      </w:r>
      <w:r w:rsidRPr="003D0D5B">
        <w:rPr>
          <w:rFonts w:ascii="Garamond" w:hAnsi="Garamond" w:cs="Times New Roman"/>
          <w:szCs w:val="24"/>
          <w:lang w:val="en-GB"/>
        </w:rPr>
        <w:t xml:space="preserve">” in </w:t>
      </w:r>
      <w:r w:rsidRPr="003D0D5B">
        <w:rPr>
          <w:rFonts w:ascii="Garamond" w:hAnsi="Garamond" w:cs="Times New Roman"/>
          <w:iCs/>
          <w:szCs w:val="24"/>
          <w:lang w:val="en-GB"/>
        </w:rPr>
        <w:t>[his/her]</w:t>
      </w:r>
      <w:r>
        <w:rPr>
          <w:rFonts w:ascii="Garamond" w:hAnsi="Garamond" w:cs="Times New Roman"/>
          <w:i/>
          <w:szCs w:val="24"/>
          <w:lang w:val="en-GB"/>
        </w:rPr>
        <w:t xml:space="preserve"> </w:t>
      </w:r>
      <w:r w:rsidRPr="008F3A1A">
        <w:rPr>
          <w:rFonts w:ascii="Garamond" w:hAnsi="Garamond" w:cs="Times New Roman"/>
          <w:szCs w:val="24"/>
          <w:lang w:val="en-GB"/>
        </w:rPr>
        <w:t>case.</w:t>
      </w:r>
      <w:r w:rsidRPr="008F3A1A">
        <w:rPr>
          <w:rStyle w:val="Appelnotedebasdep"/>
          <w:rFonts w:ascii="Garamond" w:hAnsi="Garamond"/>
          <w:szCs w:val="24"/>
          <w:lang w:val="en-GB"/>
        </w:rPr>
        <w:footnoteReference w:id="78"/>
      </w:r>
      <w:r w:rsidRPr="008F3A1A">
        <w:rPr>
          <w:rFonts w:ascii="Garamond" w:hAnsi="Garamond" w:cs="Times New Roman"/>
          <w:szCs w:val="24"/>
          <w:lang w:val="en-GB"/>
        </w:rPr>
        <w:t xml:space="preserve"> Conversely, </w:t>
      </w:r>
      <w:r>
        <w:rPr>
          <w:rFonts w:ascii="Garamond" w:hAnsi="Garamond" w:cs="Times New Roman"/>
          <w:szCs w:val="24"/>
          <w:lang w:val="en-GB"/>
        </w:rPr>
        <w:t>a</w:t>
      </w:r>
      <w:r w:rsidRPr="008F3A1A">
        <w:rPr>
          <w:rFonts w:ascii="Garamond" w:hAnsi="Garamond" w:cs="Times New Roman"/>
          <w:szCs w:val="24"/>
          <w:lang w:val="en-GB"/>
        </w:rPr>
        <w:t>pplicant</w:t>
      </w:r>
      <w:r>
        <w:rPr>
          <w:rFonts w:ascii="Garamond" w:hAnsi="Garamond" w:cs="Times New Roman"/>
          <w:szCs w:val="24"/>
          <w:lang w:val="en-GB"/>
        </w:rPr>
        <w:t>s</w:t>
      </w:r>
      <w:r w:rsidRPr="008F3A1A">
        <w:rPr>
          <w:rFonts w:ascii="Garamond" w:hAnsi="Garamond" w:cs="Times New Roman"/>
          <w:szCs w:val="24"/>
          <w:lang w:val="en-GB"/>
        </w:rPr>
        <w:t xml:space="preserve"> can establish that </w:t>
      </w:r>
      <w:r>
        <w:rPr>
          <w:rFonts w:ascii="Garamond" w:hAnsi="Garamond" w:cs="Times New Roman"/>
          <w:szCs w:val="24"/>
          <w:lang w:val="en-GB"/>
        </w:rPr>
        <w:t xml:space="preserve">they are </w:t>
      </w:r>
      <w:r w:rsidRPr="008F3A1A">
        <w:rPr>
          <w:rFonts w:ascii="Garamond" w:hAnsi="Garamond" w:cs="Times New Roman"/>
          <w:i/>
          <w:szCs w:val="24"/>
          <w:lang w:val="en-GB"/>
        </w:rPr>
        <w:t>potential</w:t>
      </w:r>
      <w:r w:rsidRPr="008F3A1A">
        <w:rPr>
          <w:rFonts w:ascii="Garamond" w:hAnsi="Garamond" w:cs="Times New Roman"/>
          <w:szCs w:val="24"/>
          <w:lang w:val="en-GB"/>
        </w:rPr>
        <w:t xml:space="preserve"> victim</w:t>
      </w:r>
      <w:r>
        <w:rPr>
          <w:rFonts w:ascii="Garamond" w:hAnsi="Garamond" w:cs="Times New Roman"/>
          <w:szCs w:val="24"/>
          <w:lang w:val="en-GB"/>
        </w:rPr>
        <w:t>s</w:t>
      </w:r>
      <w:r w:rsidRPr="008F3A1A">
        <w:rPr>
          <w:rFonts w:ascii="Garamond" w:hAnsi="Garamond" w:cs="Times New Roman"/>
          <w:szCs w:val="24"/>
          <w:lang w:val="en-GB"/>
        </w:rPr>
        <w:t xml:space="preserve"> by demonstrating “</w:t>
      </w:r>
      <w:r w:rsidRPr="008F3A1A">
        <w:rPr>
          <w:rFonts w:ascii="Garamond" w:hAnsi="Garamond" w:cs="Times New Roman"/>
          <w:i/>
          <w:szCs w:val="24"/>
          <w:lang w:val="en-GB"/>
        </w:rPr>
        <w:t>reasonable and convincing evidence of the likelihood that a violation affecting [</w:t>
      </w:r>
      <w:r>
        <w:rPr>
          <w:rFonts w:ascii="Garamond" w:hAnsi="Garamond" w:cs="Times New Roman"/>
          <w:i/>
          <w:szCs w:val="24"/>
          <w:lang w:val="en-GB"/>
        </w:rPr>
        <w:t>them</w:t>
      </w:r>
      <w:r w:rsidRPr="008F3A1A">
        <w:rPr>
          <w:rFonts w:ascii="Garamond" w:hAnsi="Garamond" w:cs="Times New Roman"/>
          <w:i/>
          <w:szCs w:val="24"/>
          <w:lang w:val="en-GB"/>
        </w:rPr>
        <w:t>] personally will occur; mere suspicion or conjecture is insufficient</w:t>
      </w:r>
      <w:r w:rsidRPr="008F3A1A">
        <w:rPr>
          <w:rFonts w:ascii="Garamond" w:hAnsi="Garamond" w:cs="Times New Roman"/>
          <w:szCs w:val="24"/>
          <w:lang w:val="en-GB"/>
        </w:rPr>
        <w:t>”.</w:t>
      </w:r>
      <w:r w:rsidRPr="008F3A1A">
        <w:rPr>
          <w:rStyle w:val="Appelnotedebasdep"/>
          <w:rFonts w:ascii="Garamond" w:hAnsi="Garamond"/>
          <w:szCs w:val="24"/>
          <w:lang w:val="en-GB"/>
        </w:rPr>
        <w:footnoteReference w:id="79"/>
      </w:r>
      <w:r w:rsidRPr="008F3A1A">
        <w:rPr>
          <w:rFonts w:ascii="Garamond" w:hAnsi="Garamond" w:cs="Times New Roman"/>
          <w:szCs w:val="24"/>
          <w:lang w:val="en-GB"/>
        </w:rPr>
        <w:t xml:space="preserve"> The Court has held that an “</w:t>
      </w:r>
      <w:r w:rsidRPr="008F3A1A">
        <w:rPr>
          <w:rFonts w:ascii="Garamond" w:hAnsi="Garamond" w:cs="Times New Roman"/>
          <w:i/>
          <w:iCs/>
          <w:szCs w:val="24"/>
          <w:lang w:val="en-GB"/>
        </w:rPr>
        <w:t>excessively formalistic, interpretation of [the victim] concept would make protection of the right guaranteed by the Convention ineffectual and illusory</w:t>
      </w:r>
      <w:r w:rsidRPr="008F3A1A">
        <w:rPr>
          <w:rFonts w:ascii="Garamond" w:hAnsi="Garamond" w:cs="Times New Roman"/>
          <w:szCs w:val="24"/>
          <w:lang w:val="en-GB"/>
        </w:rPr>
        <w:t>”.</w:t>
      </w:r>
      <w:r w:rsidRPr="008F3A1A">
        <w:rPr>
          <w:rStyle w:val="Appelnotedebasdep"/>
          <w:rFonts w:ascii="Garamond" w:hAnsi="Garamond"/>
          <w:szCs w:val="24"/>
          <w:lang w:val="en-GB"/>
        </w:rPr>
        <w:footnoteReference w:id="80"/>
      </w:r>
    </w:p>
    <w:p w14:paraId="68BB64A1" w14:textId="77777777" w:rsidR="008D4DEB" w:rsidRPr="008F3A1A" w:rsidRDefault="008D4DEB">
      <w:pPr>
        <w:pStyle w:val="Paragraphedeliste"/>
        <w:numPr>
          <w:ilvl w:val="0"/>
          <w:numId w:val="8"/>
        </w:numPr>
        <w:spacing w:beforeLines="60" w:before="144" w:afterLines="60" w:after="144" w:line="360" w:lineRule="auto"/>
        <w:ind w:left="567" w:hanging="567"/>
        <w:contextualSpacing w:val="0"/>
        <w:jc w:val="both"/>
        <w:rPr>
          <w:rFonts w:ascii="Garamond" w:hAnsi="Garamond" w:cs="Times New Roman"/>
          <w:szCs w:val="24"/>
          <w:lang w:val="en-GB"/>
        </w:rPr>
      </w:pPr>
      <w:r w:rsidRPr="008F3A1A">
        <w:rPr>
          <w:rFonts w:ascii="Garamond" w:hAnsi="Garamond" w:cs="Times New Roman"/>
          <w:szCs w:val="24"/>
          <w:lang w:val="en-GB"/>
        </w:rPr>
        <w:t>The Court has recognised the victim status of applicants where to do otherwise would risk their Convention rights being nullified.</w:t>
      </w:r>
      <w:r w:rsidRPr="008F3A1A">
        <w:rPr>
          <w:rStyle w:val="Appelnotedebasdep"/>
          <w:rFonts w:ascii="Garamond" w:hAnsi="Garamond" w:cs="Times New Roman"/>
          <w:szCs w:val="24"/>
          <w:lang w:val="en-GB"/>
        </w:rPr>
        <w:footnoteReference w:id="81"/>
      </w:r>
      <w:r w:rsidRPr="008F3A1A">
        <w:rPr>
          <w:rFonts w:ascii="Garamond" w:hAnsi="Garamond" w:cs="Times New Roman"/>
          <w:szCs w:val="24"/>
          <w:lang w:val="en-GB"/>
        </w:rPr>
        <w:t xml:space="preserve"> In determining whether an applicant has victim status, the Court take</w:t>
      </w:r>
      <w:r>
        <w:rPr>
          <w:rFonts w:ascii="Garamond" w:hAnsi="Garamond" w:cs="Times New Roman"/>
          <w:szCs w:val="24"/>
          <w:lang w:val="en-GB"/>
        </w:rPr>
        <w:t>s</w:t>
      </w:r>
      <w:r w:rsidRPr="008F3A1A">
        <w:rPr>
          <w:rFonts w:ascii="Garamond" w:hAnsi="Garamond" w:cs="Times New Roman"/>
          <w:szCs w:val="24"/>
          <w:lang w:val="en-GB"/>
        </w:rPr>
        <w:t xml:space="preserve"> into account both the </w:t>
      </w:r>
      <w:r w:rsidRPr="008F3A1A">
        <w:rPr>
          <w:rFonts w:ascii="Garamond" w:hAnsi="Garamond" w:cs="Times New Roman"/>
          <w:i/>
          <w:szCs w:val="24"/>
          <w:lang w:val="en-GB"/>
        </w:rPr>
        <w:t>nature</w:t>
      </w:r>
      <w:r w:rsidRPr="008F3A1A">
        <w:rPr>
          <w:rFonts w:ascii="Garamond" w:hAnsi="Garamond" w:cs="Times New Roman"/>
          <w:szCs w:val="24"/>
          <w:lang w:val="en-GB"/>
        </w:rPr>
        <w:t xml:space="preserve"> and </w:t>
      </w:r>
      <w:r w:rsidRPr="008F3A1A">
        <w:rPr>
          <w:rFonts w:ascii="Garamond" w:hAnsi="Garamond" w:cs="Times New Roman"/>
          <w:i/>
          <w:szCs w:val="24"/>
          <w:lang w:val="en-GB"/>
        </w:rPr>
        <w:t>seriousness</w:t>
      </w:r>
      <w:r w:rsidRPr="008F3A1A">
        <w:rPr>
          <w:rFonts w:ascii="Garamond" w:hAnsi="Garamond" w:cs="Times New Roman"/>
          <w:szCs w:val="24"/>
          <w:lang w:val="en-GB"/>
        </w:rPr>
        <w:t xml:space="preserve"> of the complaint.</w:t>
      </w:r>
      <w:r w:rsidRPr="008F3A1A">
        <w:rPr>
          <w:rStyle w:val="Appelnotedebasdep"/>
          <w:rFonts w:ascii="Garamond" w:hAnsi="Garamond" w:cs="Times New Roman"/>
          <w:szCs w:val="24"/>
          <w:lang w:val="en-GB"/>
        </w:rPr>
        <w:footnoteReference w:id="82"/>
      </w:r>
    </w:p>
    <w:p w14:paraId="78106973" w14:textId="77777777" w:rsidR="008D4DEB" w:rsidRPr="008F3A1A" w:rsidRDefault="008D4DEB">
      <w:pPr>
        <w:pStyle w:val="Paragraphedeliste"/>
        <w:numPr>
          <w:ilvl w:val="0"/>
          <w:numId w:val="8"/>
        </w:numPr>
        <w:spacing w:beforeLines="60" w:before="144" w:afterLines="60" w:after="144" w:line="360" w:lineRule="auto"/>
        <w:ind w:left="567" w:hanging="567"/>
        <w:contextualSpacing w:val="0"/>
        <w:jc w:val="both"/>
        <w:rPr>
          <w:rFonts w:ascii="Garamond" w:hAnsi="Garamond" w:cs="Times New Roman"/>
          <w:szCs w:val="24"/>
          <w:lang w:val="en-GB"/>
        </w:rPr>
      </w:pPr>
      <w:r w:rsidRPr="008F3A1A">
        <w:rPr>
          <w:rFonts w:ascii="Garamond" w:hAnsi="Garamond" w:cs="Times New Roman"/>
          <w:szCs w:val="24"/>
          <w:lang w:val="en-GB"/>
        </w:rPr>
        <w:lastRenderedPageBreak/>
        <w:t xml:space="preserve">Whilst Article 34 does not permit a complaint </w:t>
      </w:r>
      <w:r w:rsidRPr="008F3A1A">
        <w:rPr>
          <w:rFonts w:ascii="Garamond" w:hAnsi="Garamond" w:cs="Times New Roman"/>
          <w:i/>
          <w:szCs w:val="24"/>
          <w:lang w:val="en-GB"/>
        </w:rPr>
        <w:t>in</w:t>
      </w:r>
      <w:r w:rsidRPr="008F3A1A">
        <w:rPr>
          <w:rFonts w:ascii="Garamond" w:hAnsi="Garamond" w:cs="Times New Roman"/>
          <w:szCs w:val="24"/>
          <w:lang w:val="en-GB"/>
        </w:rPr>
        <w:t xml:space="preserve"> </w:t>
      </w:r>
      <w:r w:rsidRPr="008F3A1A">
        <w:rPr>
          <w:rFonts w:ascii="Garamond" w:hAnsi="Garamond" w:cs="Times New Roman"/>
          <w:i/>
          <w:szCs w:val="24"/>
          <w:lang w:val="en-GB"/>
        </w:rPr>
        <w:t>abstracto</w:t>
      </w:r>
      <w:r w:rsidRPr="008F3A1A">
        <w:rPr>
          <w:rFonts w:ascii="Garamond" w:hAnsi="Garamond" w:cs="Times New Roman"/>
          <w:szCs w:val="24"/>
          <w:lang w:val="en-GB"/>
        </w:rPr>
        <w:t xml:space="preserve"> or an </w:t>
      </w:r>
      <w:r w:rsidRPr="008F3A1A">
        <w:rPr>
          <w:rFonts w:ascii="Garamond" w:hAnsi="Garamond" w:cs="Times New Roman"/>
          <w:i/>
          <w:szCs w:val="24"/>
          <w:lang w:val="en-GB"/>
        </w:rPr>
        <w:t>actio popularis</w:t>
      </w:r>
      <w:r w:rsidRPr="008F3A1A">
        <w:rPr>
          <w:rFonts w:ascii="Garamond" w:hAnsi="Garamond" w:cs="Times New Roman"/>
          <w:szCs w:val="24"/>
          <w:lang w:val="en-GB"/>
        </w:rPr>
        <w:t>, it is open to individuals to contend that laws violate their rights in the absence of individual measures of implementation if they are a member of a class of persons who risk being directly affected.</w:t>
      </w:r>
      <w:r w:rsidRPr="008F3A1A">
        <w:rPr>
          <w:rStyle w:val="Appelnotedebasdep"/>
          <w:rFonts w:ascii="Garamond" w:hAnsi="Garamond" w:cs="Times New Roman"/>
          <w:szCs w:val="24"/>
          <w:lang w:val="en-GB"/>
        </w:rPr>
        <w:footnoteReference w:id="83"/>
      </w:r>
    </w:p>
    <w:p w14:paraId="28AA4F60" w14:textId="77777777" w:rsidR="008D4DEB" w:rsidRPr="003D0D5B" w:rsidRDefault="008D4DEB">
      <w:pPr>
        <w:pStyle w:val="Paragraphedeliste"/>
        <w:numPr>
          <w:ilvl w:val="0"/>
          <w:numId w:val="8"/>
        </w:numPr>
        <w:spacing w:beforeLines="60" w:before="144" w:afterLines="60" w:after="144" w:line="360" w:lineRule="auto"/>
        <w:ind w:left="567" w:hanging="567"/>
        <w:contextualSpacing w:val="0"/>
        <w:jc w:val="both"/>
        <w:rPr>
          <w:rFonts w:ascii="Garamond" w:hAnsi="Garamond" w:cs="Times New Roman"/>
          <w:szCs w:val="24"/>
          <w:lang w:val="en-GB"/>
        </w:rPr>
      </w:pPr>
      <w:r w:rsidRPr="008F3A1A">
        <w:rPr>
          <w:rFonts w:ascii="Garamond" w:hAnsi="Garamond" w:cs="Times New Roman"/>
          <w:color w:val="050707"/>
          <w:szCs w:val="24"/>
          <w:lang w:val="en-GB"/>
        </w:rPr>
        <w:t>In cases of environmental harm</w:t>
      </w:r>
      <w:r>
        <w:rPr>
          <w:rFonts w:ascii="Garamond" w:hAnsi="Garamond" w:cs="Times New Roman"/>
          <w:color w:val="050707"/>
          <w:szCs w:val="24"/>
          <w:lang w:val="en-GB"/>
        </w:rPr>
        <w:t>,</w:t>
      </w:r>
      <w:r w:rsidRPr="008F3A1A">
        <w:rPr>
          <w:rFonts w:ascii="Garamond" w:hAnsi="Garamond" w:cs="Times New Roman"/>
          <w:color w:val="050707"/>
          <w:szCs w:val="24"/>
          <w:lang w:val="en-GB"/>
        </w:rPr>
        <w:t xml:space="preserve"> applicants nee</w:t>
      </w:r>
      <w:r w:rsidRPr="003D0D5B">
        <w:rPr>
          <w:rFonts w:ascii="Garamond" w:hAnsi="Garamond" w:cs="Times New Roman"/>
          <w:color w:val="050707"/>
          <w:szCs w:val="24"/>
          <w:lang w:val="en-GB"/>
        </w:rPr>
        <w:t xml:space="preserve">d not demonstrate that they themselves have already been or will in future be harmed. The Applicant can instead establish that </w:t>
      </w:r>
      <w:r w:rsidRPr="003D0D5B">
        <w:rPr>
          <w:rFonts w:ascii="Garamond" w:hAnsi="Garamond" w:cs="Times New Roman"/>
          <w:szCs w:val="24"/>
          <w:lang w:val="en-GB"/>
        </w:rPr>
        <w:t>[he/she]</w:t>
      </w:r>
      <w:r w:rsidRPr="003D0D5B">
        <w:rPr>
          <w:rFonts w:ascii="Garamond" w:hAnsi="Garamond" w:cs="Times New Roman"/>
          <w:i/>
          <w:szCs w:val="24"/>
          <w:lang w:val="en-GB"/>
        </w:rPr>
        <w:t xml:space="preserve"> </w:t>
      </w:r>
      <w:r w:rsidRPr="003D0D5B">
        <w:rPr>
          <w:rFonts w:ascii="Garamond" w:hAnsi="Garamond" w:cs="Times New Roman"/>
          <w:color w:val="050707"/>
          <w:szCs w:val="24"/>
          <w:lang w:val="en-GB"/>
        </w:rPr>
        <w:t>has been directly affected and will be personally affected, by showing through evidence that:</w:t>
      </w:r>
    </w:p>
    <w:p w14:paraId="28B3CD40" w14:textId="77777777" w:rsidR="008D4DEB" w:rsidRPr="003D0D5B" w:rsidRDefault="008D4DEB">
      <w:pPr>
        <w:pStyle w:val="Paragraphedeliste"/>
        <w:numPr>
          <w:ilvl w:val="1"/>
          <w:numId w:val="8"/>
        </w:numPr>
        <w:spacing w:beforeLines="60" w:before="144" w:afterLines="60" w:after="144" w:line="360" w:lineRule="auto"/>
        <w:ind w:left="993" w:hanging="426"/>
        <w:contextualSpacing w:val="0"/>
        <w:jc w:val="both"/>
        <w:rPr>
          <w:rFonts w:ascii="Garamond" w:hAnsi="Garamond" w:cs="Times New Roman"/>
          <w:color w:val="000000"/>
          <w:szCs w:val="24"/>
          <w:lang w:val="en-GB"/>
        </w:rPr>
      </w:pPr>
      <w:r w:rsidRPr="003D0D5B">
        <w:rPr>
          <w:rFonts w:ascii="Garamond" w:hAnsi="Garamond" w:cs="Times New Roman"/>
          <w:iCs/>
          <w:szCs w:val="24"/>
          <w:lang w:val="en-GB"/>
        </w:rPr>
        <w:t>[He/She]</w:t>
      </w:r>
      <w:r w:rsidRPr="003D0D5B">
        <w:rPr>
          <w:rFonts w:ascii="Garamond" w:hAnsi="Garamond" w:cs="Times New Roman"/>
          <w:i/>
          <w:szCs w:val="24"/>
          <w:lang w:val="en-GB"/>
        </w:rPr>
        <w:t xml:space="preserve"> </w:t>
      </w:r>
      <w:r w:rsidRPr="003D0D5B">
        <w:rPr>
          <w:rFonts w:ascii="Garamond" w:hAnsi="Garamond"/>
          <w:szCs w:val="24"/>
          <w:lang w:val="en-GB"/>
        </w:rPr>
        <w:t xml:space="preserve">resides in an area recognised as being at risk from the source of </w:t>
      </w:r>
      <w:r w:rsidRPr="003D0D5B">
        <w:rPr>
          <w:rFonts w:ascii="Garamond" w:hAnsi="Garamond" w:cs="Times New Roman"/>
          <w:color w:val="000000"/>
          <w:szCs w:val="24"/>
          <w:lang w:val="en-GB"/>
        </w:rPr>
        <w:t>environmental harm; and</w:t>
      </w:r>
    </w:p>
    <w:p w14:paraId="14D5CCA5" w14:textId="77777777" w:rsidR="008D4DEB" w:rsidRPr="003D0D5B" w:rsidRDefault="008D4DEB">
      <w:pPr>
        <w:pStyle w:val="Paragraphedeliste"/>
        <w:numPr>
          <w:ilvl w:val="1"/>
          <w:numId w:val="8"/>
        </w:numPr>
        <w:spacing w:beforeLines="60" w:before="144" w:afterLines="60" w:after="144" w:line="360" w:lineRule="auto"/>
        <w:ind w:left="993" w:hanging="426"/>
        <w:contextualSpacing w:val="0"/>
        <w:jc w:val="both"/>
        <w:rPr>
          <w:rFonts w:ascii="Garamond" w:hAnsi="Garamond" w:cs="Times New Roman"/>
          <w:color w:val="000000"/>
          <w:szCs w:val="24"/>
          <w:lang w:val="en-GB"/>
        </w:rPr>
      </w:pPr>
      <w:r w:rsidRPr="003D0D5B">
        <w:rPr>
          <w:rFonts w:ascii="Garamond" w:hAnsi="Garamond" w:cs="Times New Roman"/>
          <w:color w:val="000000"/>
          <w:szCs w:val="24"/>
          <w:lang w:val="en-GB"/>
        </w:rPr>
        <w:t xml:space="preserve">There is a causal link between that source of environmental harm and increased risks to </w:t>
      </w:r>
      <w:r w:rsidRPr="003D0D5B">
        <w:rPr>
          <w:rFonts w:ascii="Garamond" w:hAnsi="Garamond" w:cs="Times New Roman"/>
          <w:iCs/>
          <w:szCs w:val="24"/>
          <w:lang w:val="en-GB"/>
        </w:rPr>
        <w:t>[his/her]</w:t>
      </w:r>
      <w:r w:rsidRPr="003D0D5B">
        <w:rPr>
          <w:rFonts w:ascii="Garamond" w:hAnsi="Garamond" w:cs="Times New Roman"/>
          <w:i/>
          <w:szCs w:val="24"/>
          <w:lang w:val="en-GB"/>
        </w:rPr>
        <w:t xml:space="preserve"> </w:t>
      </w:r>
      <w:r w:rsidRPr="003D0D5B">
        <w:rPr>
          <w:rFonts w:ascii="Garamond" w:hAnsi="Garamond" w:cs="Times New Roman"/>
          <w:color w:val="000000"/>
          <w:szCs w:val="24"/>
          <w:lang w:val="en-GB"/>
        </w:rPr>
        <w:t>life and health.</w:t>
      </w:r>
      <w:r w:rsidRPr="003D0D5B">
        <w:rPr>
          <w:rStyle w:val="Appelnotedebasdep"/>
          <w:rFonts w:ascii="Garamond" w:hAnsi="Garamond" w:cs="Times New Roman"/>
          <w:color w:val="000000"/>
          <w:szCs w:val="24"/>
          <w:lang w:val="en-GB"/>
        </w:rPr>
        <w:footnoteReference w:id="84"/>
      </w:r>
    </w:p>
    <w:p w14:paraId="691898DA" w14:textId="77777777" w:rsidR="008D4DEB" w:rsidRPr="008F3A1A" w:rsidRDefault="008D4DEB">
      <w:pPr>
        <w:pStyle w:val="Paragraphedeliste"/>
        <w:numPr>
          <w:ilvl w:val="0"/>
          <w:numId w:val="8"/>
        </w:numPr>
        <w:spacing w:beforeLines="60" w:before="144" w:afterLines="60" w:after="144" w:line="360" w:lineRule="auto"/>
        <w:ind w:left="567" w:hanging="567"/>
        <w:contextualSpacing w:val="0"/>
        <w:jc w:val="both"/>
        <w:rPr>
          <w:rFonts w:ascii="Garamond" w:hAnsi="Garamond"/>
          <w:szCs w:val="24"/>
          <w:lang w:val="en-GB"/>
        </w:rPr>
      </w:pPr>
      <w:r w:rsidRPr="008F3A1A">
        <w:rPr>
          <w:rFonts w:ascii="Garamond" w:hAnsi="Garamond" w:cs="Times New Roman"/>
          <w:szCs w:val="24"/>
          <w:lang w:val="en-GB"/>
        </w:rPr>
        <w:t>Against this background, it is submitted the Applicant</w:t>
      </w:r>
      <w:r>
        <w:rPr>
          <w:rFonts w:ascii="Garamond" w:hAnsi="Garamond" w:cs="Times New Roman"/>
          <w:szCs w:val="24"/>
          <w:lang w:val="en-GB"/>
        </w:rPr>
        <w:t xml:space="preserve"> is </w:t>
      </w:r>
      <w:r w:rsidRPr="008F3A1A">
        <w:rPr>
          <w:rFonts w:ascii="Garamond" w:hAnsi="Garamond" w:cs="Times New Roman"/>
          <w:szCs w:val="24"/>
          <w:lang w:val="en-GB"/>
        </w:rPr>
        <w:t xml:space="preserve">both </w:t>
      </w:r>
      <w:r>
        <w:rPr>
          <w:rFonts w:ascii="Garamond" w:hAnsi="Garamond" w:cs="Times New Roman"/>
          <w:szCs w:val="24"/>
          <w:lang w:val="en-GB"/>
        </w:rPr>
        <w:t xml:space="preserve">an </w:t>
      </w:r>
      <w:r w:rsidRPr="008F3A1A">
        <w:rPr>
          <w:rFonts w:ascii="Garamond" w:hAnsi="Garamond" w:cs="Times New Roman"/>
          <w:szCs w:val="24"/>
          <w:lang w:val="en-GB"/>
        </w:rPr>
        <w:t xml:space="preserve">actual and potential victim of violations by each of the </w:t>
      </w:r>
      <w:r w:rsidRPr="003D0D5B">
        <w:rPr>
          <w:rFonts w:ascii="Garamond" w:hAnsi="Garamond" w:cs="Times New Roman"/>
          <w:szCs w:val="24"/>
          <w:lang w:val="en-GB"/>
        </w:rPr>
        <w:t>Respondent States of</w:t>
      </w:r>
      <w:r w:rsidRPr="003D0D5B">
        <w:rPr>
          <w:rFonts w:ascii="Garamond" w:hAnsi="Garamond" w:cs="Times New Roman"/>
          <w:iCs/>
          <w:szCs w:val="24"/>
          <w:lang w:val="en-GB"/>
        </w:rPr>
        <w:t xml:space="preserve"> [his/her]</w:t>
      </w:r>
      <w:r w:rsidRPr="003D0D5B">
        <w:rPr>
          <w:rFonts w:ascii="Garamond" w:hAnsi="Garamond" w:cs="Times New Roman"/>
          <w:i/>
          <w:szCs w:val="24"/>
          <w:lang w:val="en-GB"/>
        </w:rPr>
        <w:t xml:space="preserve"> </w:t>
      </w:r>
      <w:r w:rsidRPr="003D0D5B">
        <w:rPr>
          <w:rFonts w:ascii="Garamond" w:hAnsi="Garamond" w:cs="Times New Roman"/>
          <w:szCs w:val="24"/>
          <w:lang w:val="en-GB"/>
        </w:rPr>
        <w:t>rights under</w:t>
      </w:r>
      <w:r w:rsidRPr="008B2DD2">
        <w:rPr>
          <w:rFonts w:ascii="Garamond" w:hAnsi="Garamond" w:cs="Times New Roman"/>
          <w:szCs w:val="24"/>
          <w:lang w:val="en-GB"/>
        </w:rPr>
        <w:t xml:space="preserve"> Articles 2, 3, 8 and 14 within</w:t>
      </w:r>
      <w:r w:rsidRPr="008F3A1A">
        <w:rPr>
          <w:rFonts w:ascii="Garamond" w:hAnsi="Garamond" w:cs="Times New Roman"/>
          <w:szCs w:val="24"/>
          <w:lang w:val="en-GB"/>
        </w:rPr>
        <w:t xml:space="preserve"> the meaning of Article 34. </w:t>
      </w:r>
    </w:p>
    <w:p w14:paraId="6FACC4E6" w14:textId="77777777" w:rsidR="008D4DEB" w:rsidRPr="007E1AE2" w:rsidRDefault="008D4DEB">
      <w:pPr>
        <w:numPr>
          <w:ilvl w:val="0"/>
          <w:numId w:val="8"/>
        </w:numPr>
        <w:spacing w:beforeLines="60" w:before="144" w:afterLines="60" w:after="144" w:line="360" w:lineRule="auto"/>
        <w:ind w:left="567" w:hanging="567"/>
        <w:jc w:val="both"/>
        <w:rPr>
          <w:rFonts w:ascii="Garamond" w:hAnsi="Garamond"/>
          <w:lang w:val="en-GB"/>
        </w:rPr>
      </w:pPr>
      <w:r w:rsidRPr="00DA322D">
        <w:rPr>
          <w:rFonts w:ascii="Garamond" w:hAnsi="Garamond" w:cs="Times New Roman"/>
          <w:lang w:val="en-GB"/>
        </w:rPr>
        <w:t>The</w:t>
      </w:r>
      <w:r w:rsidRPr="00DA322D" w:rsidDel="003B36E6">
        <w:rPr>
          <w:rFonts w:ascii="Garamond" w:hAnsi="Garamond" w:cs="Times New Roman"/>
          <w:lang w:val="en-GB"/>
        </w:rPr>
        <w:t xml:space="preserve"> current impact of climate change on human rights is well-established. </w:t>
      </w:r>
      <w:r w:rsidRPr="008F3A1A" w:rsidDel="003B36E6">
        <w:rPr>
          <w:rFonts w:ascii="Garamond" w:hAnsi="Garamond" w:cs="Times New Roman"/>
          <w:lang w:val="en-GB"/>
        </w:rPr>
        <w:t>The UN Human Rights Council states that “</w:t>
      </w:r>
      <w:r w:rsidRPr="008F3A1A" w:rsidDel="003B36E6">
        <w:rPr>
          <w:rFonts w:ascii="Garamond" w:hAnsi="Garamond" w:cs="Times New Roman"/>
          <w:i/>
          <w:iCs/>
          <w:lang w:val="en-GB"/>
        </w:rPr>
        <w:t>climate change-related impacts have a range of implications, both direct and indirect, for the effective enjoyment of human rights including, inter alia, the right to life</w:t>
      </w:r>
      <w:r w:rsidRPr="008F3A1A" w:rsidDel="003B36E6">
        <w:rPr>
          <w:rFonts w:ascii="Garamond" w:hAnsi="Garamond" w:cs="Times New Roman"/>
          <w:lang w:val="en-GB"/>
        </w:rPr>
        <w:t>”.</w:t>
      </w:r>
      <w:r w:rsidRPr="008F3A1A" w:rsidDel="003B36E6">
        <w:rPr>
          <w:rStyle w:val="Appelnotedebasdep"/>
          <w:rFonts w:ascii="Garamond" w:hAnsi="Garamond"/>
          <w:lang w:val="en-GB"/>
        </w:rPr>
        <w:footnoteReference w:id="85"/>
      </w:r>
      <w:r>
        <w:rPr>
          <w:rFonts w:ascii="Garamond" w:hAnsi="Garamond" w:cs="Times New Roman"/>
          <w:lang w:val="en-GB"/>
        </w:rPr>
        <w:t xml:space="preserve"> </w:t>
      </w:r>
      <w:r w:rsidRPr="00DA322D" w:rsidDel="003B36E6">
        <w:rPr>
          <w:rFonts w:ascii="Garamond" w:hAnsi="Garamond" w:cs="Times New Roman"/>
          <w:lang w:val="en-GB"/>
        </w:rPr>
        <w:t xml:space="preserve">According to the IPCC, </w:t>
      </w:r>
      <w:r w:rsidRPr="00DA322D" w:rsidDel="003B36E6">
        <w:rPr>
          <w:rFonts w:ascii="Garamond" w:hAnsi="Garamond" w:cs="Times New Roman"/>
          <w:i/>
          <w:lang w:val="en-GB"/>
        </w:rPr>
        <w:t>“[a]ny increase in global warming is projected to affect human health, with primarily negative</w:t>
      </w:r>
      <w:r w:rsidRPr="008F3A1A" w:rsidDel="003B36E6">
        <w:rPr>
          <w:rFonts w:ascii="Garamond" w:hAnsi="Garamond" w:cs="Times New Roman"/>
          <w:i/>
          <w:lang w:val="en-GB"/>
        </w:rPr>
        <w:t xml:space="preserve"> consequences</w:t>
      </w:r>
      <w:r w:rsidRPr="008F3A1A" w:rsidDel="003B36E6">
        <w:rPr>
          <w:rFonts w:ascii="Garamond" w:hAnsi="Garamond" w:cs="Times New Roman"/>
          <w:lang w:val="en-GB"/>
        </w:rPr>
        <w:t>”</w:t>
      </w:r>
      <w:r w:rsidRPr="008F3A1A" w:rsidDel="003B36E6">
        <w:rPr>
          <w:rStyle w:val="Appelnotedebasdep"/>
          <w:rFonts w:ascii="Garamond" w:hAnsi="Garamond" w:cs="Times New Roman"/>
          <w:lang w:val="en-GB"/>
        </w:rPr>
        <w:footnoteReference w:id="86"/>
      </w:r>
      <w:r w:rsidRPr="008F3A1A" w:rsidDel="003B36E6">
        <w:rPr>
          <w:rFonts w:ascii="Garamond" w:hAnsi="Garamond" w:cs="Times New Roman"/>
          <w:lang w:val="en-GB"/>
        </w:rPr>
        <w:t xml:space="preserve"> which “</w:t>
      </w:r>
      <w:r w:rsidRPr="008F3A1A" w:rsidDel="003B36E6">
        <w:rPr>
          <w:rFonts w:ascii="Garamond" w:hAnsi="Garamond" w:cs="Times New Roman"/>
          <w:i/>
          <w:lang w:val="en-GB"/>
        </w:rPr>
        <w:t>have already been observed</w:t>
      </w:r>
      <w:r w:rsidRPr="008F3A1A" w:rsidDel="003B36E6">
        <w:rPr>
          <w:rFonts w:ascii="Garamond" w:hAnsi="Garamond" w:cs="Times New Roman"/>
          <w:lang w:val="en-GB"/>
        </w:rPr>
        <w:t>”,</w:t>
      </w:r>
      <w:r w:rsidRPr="008F3A1A" w:rsidDel="003B36E6">
        <w:rPr>
          <w:rStyle w:val="Appelnotedebasdep"/>
          <w:rFonts w:ascii="Garamond" w:hAnsi="Garamond" w:cs="Times New Roman"/>
          <w:lang w:val="en-GB"/>
        </w:rPr>
        <w:footnoteReference w:id="87"/>
      </w:r>
      <w:r w:rsidRPr="008F3A1A" w:rsidDel="003B36E6">
        <w:rPr>
          <w:rFonts w:ascii="Garamond" w:hAnsi="Garamond" w:cs="Times New Roman"/>
          <w:lang w:val="en-GB"/>
        </w:rPr>
        <w:t xml:space="preserve"> as confirmed in its latest report.</w:t>
      </w:r>
      <w:r w:rsidRPr="008F3A1A" w:rsidDel="003B36E6">
        <w:rPr>
          <w:rStyle w:val="Appelnotedebasdep"/>
          <w:rFonts w:ascii="Garamond" w:eastAsia="Calibri" w:hAnsi="Garamond" w:cs="Times New Roman"/>
          <w:lang w:val="en-GB"/>
        </w:rPr>
        <w:footnoteReference w:id="88"/>
      </w:r>
      <w:r w:rsidRPr="008F3A1A" w:rsidDel="003B36E6">
        <w:rPr>
          <w:rFonts w:ascii="Garamond" w:hAnsi="Garamond" w:cs="Times New Roman"/>
          <w:lang w:val="en-GB"/>
        </w:rPr>
        <w:t xml:space="preserve"> The WHO also states that </w:t>
      </w:r>
      <w:r w:rsidRPr="008F3A1A" w:rsidDel="003B36E6">
        <w:rPr>
          <w:rFonts w:ascii="Garamond" w:eastAsia="Calibri" w:hAnsi="Garamond" w:cs="Times New Roman"/>
          <w:lang w:val="en-GB"/>
        </w:rPr>
        <w:t>“</w:t>
      </w:r>
      <w:r w:rsidRPr="008F3A1A" w:rsidDel="003B36E6">
        <w:rPr>
          <w:rFonts w:ascii="Garamond" w:eastAsia="Calibri" w:hAnsi="Garamond" w:cs="Times New Roman"/>
          <w:i/>
          <w:lang w:val="en-GB"/>
        </w:rPr>
        <w:t>Climate change is already impacting health in a myriad of ways […]</w:t>
      </w:r>
      <w:r w:rsidRPr="008F3A1A" w:rsidDel="003B36E6">
        <w:rPr>
          <w:rFonts w:ascii="Garamond" w:eastAsia="Calibri" w:hAnsi="Garamond" w:cs="Times New Roman"/>
          <w:lang w:val="en-GB"/>
        </w:rPr>
        <w:t>”.</w:t>
      </w:r>
      <w:r w:rsidRPr="008F3A1A" w:rsidDel="003B36E6">
        <w:rPr>
          <w:rStyle w:val="Appelnotedebasdep"/>
          <w:rFonts w:ascii="Garamond" w:eastAsia="Calibri" w:hAnsi="Garamond" w:cs="Times New Roman"/>
          <w:lang w:val="en-GB"/>
        </w:rPr>
        <w:footnoteReference w:id="89"/>
      </w:r>
    </w:p>
    <w:p w14:paraId="5829A9FB" w14:textId="77777777" w:rsidR="004A33C6" w:rsidRDefault="008D4DEB" w:rsidP="004A33C6">
      <w:pPr>
        <w:pStyle w:val="Paragraphedeliste"/>
        <w:numPr>
          <w:ilvl w:val="0"/>
          <w:numId w:val="8"/>
        </w:numPr>
        <w:spacing w:beforeLines="60" w:before="144" w:afterLines="60" w:after="144" w:line="360" w:lineRule="auto"/>
        <w:ind w:left="567" w:hanging="567"/>
        <w:contextualSpacing w:val="0"/>
        <w:jc w:val="both"/>
        <w:rPr>
          <w:rFonts w:ascii="Garamond" w:hAnsi="Garamond" w:cs="Times New Roman"/>
          <w:szCs w:val="24"/>
          <w:lang w:val="en-GB"/>
        </w:rPr>
      </w:pPr>
      <w:r>
        <w:rPr>
          <w:rFonts w:ascii="Garamond" w:hAnsi="Garamond" w:cs="Times New Roman"/>
          <w:szCs w:val="24"/>
          <w:lang w:val="en-GB"/>
        </w:rPr>
        <w:lastRenderedPageBreak/>
        <w:t>C</w:t>
      </w:r>
      <w:r w:rsidRPr="00DA322D">
        <w:rPr>
          <w:rFonts w:ascii="Garamond" w:hAnsi="Garamond" w:cs="Times New Roman"/>
          <w:szCs w:val="24"/>
          <w:lang w:val="en-GB"/>
        </w:rPr>
        <w:t>limate change</w:t>
      </w:r>
      <w:r>
        <w:rPr>
          <w:rFonts w:ascii="Garamond" w:hAnsi="Garamond" w:cs="Times New Roman"/>
          <w:szCs w:val="24"/>
          <w:lang w:val="en-GB"/>
        </w:rPr>
        <w:t xml:space="preserve"> can cause both physical and</w:t>
      </w:r>
      <w:r w:rsidRPr="00DA322D">
        <w:rPr>
          <w:rFonts w:ascii="Garamond" w:hAnsi="Garamond" w:cs="Times New Roman"/>
          <w:szCs w:val="24"/>
          <w:lang w:val="en-GB"/>
        </w:rPr>
        <w:t xml:space="preserve"> mental health</w:t>
      </w:r>
      <w:r>
        <w:rPr>
          <w:rFonts w:ascii="Garamond" w:hAnsi="Garamond" w:cs="Times New Roman"/>
          <w:szCs w:val="24"/>
          <w:lang w:val="en-GB"/>
        </w:rPr>
        <w:t xml:space="preserve"> impacts</w:t>
      </w:r>
      <w:r w:rsidRPr="00DA322D">
        <w:rPr>
          <w:rFonts w:ascii="Garamond" w:hAnsi="Garamond" w:cs="Times New Roman"/>
          <w:szCs w:val="24"/>
          <w:lang w:val="en-GB"/>
        </w:rPr>
        <w:t xml:space="preserve">, notably </w:t>
      </w:r>
      <w:r>
        <w:rPr>
          <w:rFonts w:ascii="Garamond" w:hAnsi="Garamond" w:cs="Times New Roman"/>
          <w:szCs w:val="24"/>
          <w:lang w:val="en-GB"/>
        </w:rPr>
        <w:t>“</w:t>
      </w:r>
      <w:r w:rsidRPr="00DA65CC">
        <w:rPr>
          <w:rFonts w:ascii="Garamond" w:hAnsi="Garamond" w:cs="Times New Roman"/>
          <w:i/>
          <w:szCs w:val="24"/>
          <w:lang w:val="en-GB"/>
        </w:rPr>
        <w:t>trauma from weather and climate extreme events</w:t>
      </w:r>
      <w:r>
        <w:rPr>
          <w:rFonts w:ascii="Garamond" w:hAnsi="Garamond" w:cs="Times New Roman"/>
          <w:szCs w:val="24"/>
          <w:lang w:val="en-GB"/>
        </w:rPr>
        <w:t>”</w:t>
      </w:r>
      <w:r w:rsidRPr="00DA322D">
        <w:rPr>
          <w:rFonts w:ascii="Garamond" w:hAnsi="Garamond" w:cs="Times New Roman"/>
          <w:szCs w:val="24"/>
          <w:lang w:val="en-GB"/>
        </w:rPr>
        <w:t xml:space="preserve"> and </w:t>
      </w:r>
      <w:r>
        <w:rPr>
          <w:rFonts w:ascii="Garamond" w:hAnsi="Garamond" w:cs="Times New Roman"/>
          <w:szCs w:val="24"/>
          <w:lang w:val="en-GB"/>
        </w:rPr>
        <w:t>“</w:t>
      </w:r>
      <w:r w:rsidRPr="00DA65CC">
        <w:rPr>
          <w:rFonts w:ascii="Garamond" w:hAnsi="Garamond" w:cs="Times New Roman"/>
          <w:i/>
          <w:szCs w:val="24"/>
          <w:lang w:val="en-GB"/>
        </w:rPr>
        <w:t>mental health challenges associated with increasing temperatures</w:t>
      </w:r>
      <w:r>
        <w:rPr>
          <w:rFonts w:ascii="Garamond" w:hAnsi="Garamond" w:cs="Times New Roman"/>
          <w:szCs w:val="24"/>
          <w:lang w:val="en-GB"/>
        </w:rPr>
        <w:t>”.</w:t>
      </w:r>
      <w:r w:rsidRPr="00DA322D">
        <w:rPr>
          <w:rStyle w:val="Appelnotedebasdep"/>
          <w:rFonts w:ascii="Garamond" w:hAnsi="Garamond" w:cs="Times New Roman"/>
          <w:szCs w:val="24"/>
          <w:lang w:val="en-GB"/>
        </w:rPr>
        <w:footnoteReference w:id="90"/>
      </w:r>
      <w:r w:rsidRPr="00DA322D">
        <w:rPr>
          <w:rFonts w:ascii="Garamond" w:hAnsi="Garamond" w:cs="Times New Roman"/>
          <w:szCs w:val="24"/>
          <w:lang w:val="en-GB"/>
        </w:rPr>
        <w:t xml:space="preserve"> This is especially true for young people suffering from climate anxiety.</w:t>
      </w:r>
      <w:r w:rsidRPr="00DA322D">
        <w:rPr>
          <w:rStyle w:val="Appelnotedebasdep"/>
          <w:rFonts w:ascii="Garamond" w:hAnsi="Garamond"/>
          <w:szCs w:val="24"/>
          <w:lang w:val="en-GB"/>
        </w:rPr>
        <w:footnoteReference w:id="91"/>
      </w:r>
    </w:p>
    <w:p w14:paraId="7D9D0C88" w14:textId="39B4623E" w:rsidR="008D4DEB" w:rsidRPr="004A33C6" w:rsidRDefault="008D4DEB" w:rsidP="004A33C6">
      <w:pPr>
        <w:pStyle w:val="Paragraphedeliste"/>
        <w:numPr>
          <w:ilvl w:val="0"/>
          <w:numId w:val="8"/>
        </w:numPr>
        <w:spacing w:beforeLines="60" w:before="144" w:afterLines="60" w:after="144" w:line="360" w:lineRule="auto"/>
        <w:ind w:left="567" w:hanging="567"/>
        <w:contextualSpacing w:val="0"/>
        <w:jc w:val="both"/>
        <w:rPr>
          <w:rFonts w:ascii="Garamond" w:hAnsi="Garamond" w:cs="Times New Roman"/>
          <w:szCs w:val="24"/>
          <w:lang w:val="en-GB"/>
        </w:rPr>
      </w:pPr>
      <w:r w:rsidRPr="004A33C6">
        <w:rPr>
          <w:rFonts w:ascii="Garamond" w:hAnsi="Garamond" w:cs="Times New Roman"/>
          <w:b/>
          <w:bCs/>
          <w:lang w:val="en-GB"/>
        </w:rPr>
        <w:t>First</w:t>
      </w:r>
      <w:r w:rsidRPr="004A33C6">
        <w:rPr>
          <w:rFonts w:ascii="Garamond" w:hAnsi="Garamond" w:cs="Times New Roman"/>
          <w:lang w:val="en-GB"/>
        </w:rPr>
        <w:t>,</w:t>
      </w:r>
      <w:r w:rsidRPr="004A33C6">
        <w:rPr>
          <w:rFonts w:ascii="Garamond" w:hAnsi="Garamond" w:cs="Times New Roman"/>
          <w:b/>
          <w:bCs/>
          <w:lang w:val="en-GB"/>
        </w:rPr>
        <w:t xml:space="preserve"> </w:t>
      </w:r>
      <w:r w:rsidRPr="004A33C6">
        <w:rPr>
          <w:rFonts w:ascii="Garamond" w:hAnsi="Garamond" w:cs="Times New Roman"/>
          <w:lang w:val="en-GB"/>
        </w:rPr>
        <w:t xml:space="preserve">the Applicant </w:t>
      </w:r>
      <w:r w:rsidRPr="004A33C6">
        <w:rPr>
          <w:rFonts w:ascii="Garamond" w:hAnsi="Garamond"/>
          <w:lang w:val="en-GB"/>
        </w:rPr>
        <w:t>directly suffers</w:t>
      </w:r>
      <w:r w:rsidRPr="004A33C6">
        <w:rPr>
          <w:rFonts w:ascii="Garamond" w:hAnsi="Garamond" w:cs="Times New Roman"/>
          <w:lang w:val="en-GB"/>
        </w:rPr>
        <w:t xml:space="preserve"> from the </w:t>
      </w:r>
      <w:r w:rsidRPr="004A33C6">
        <w:rPr>
          <w:rFonts w:ascii="Garamond" w:hAnsi="Garamond" w:cs="Times New Roman"/>
          <w:i/>
          <w:lang w:val="en-GB"/>
        </w:rPr>
        <w:t>current</w:t>
      </w:r>
      <w:r w:rsidRPr="004A33C6">
        <w:rPr>
          <w:rFonts w:ascii="Garamond" w:hAnsi="Garamond" w:cs="Times New Roman"/>
          <w:lang w:val="en-GB"/>
        </w:rPr>
        <w:t xml:space="preserve"> consequences of climate change in the form of impacts to </w:t>
      </w:r>
      <w:r w:rsidRPr="004A33C6">
        <w:rPr>
          <w:rFonts w:ascii="Garamond" w:hAnsi="Garamond" w:cs="Times New Roman"/>
          <w:iCs/>
          <w:lang w:val="en-GB"/>
        </w:rPr>
        <w:t xml:space="preserve">[his/her] </w:t>
      </w:r>
      <w:r w:rsidRPr="004A33C6">
        <w:rPr>
          <w:rFonts w:ascii="Garamond" w:hAnsi="Garamond" w:cs="Times New Roman"/>
          <w:lang w:val="en-GB"/>
        </w:rPr>
        <w:t>life and health.</w:t>
      </w:r>
    </w:p>
    <w:p w14:paraId="0CF6B9F1" w14:textId="77777777" w:rsidR="008D4DEB" w:rsidRPr="003D0D5B" w:rsidRDefault="008D4DEB">
      <w:pPr>
        <w:pStyle w:val="Paragraphedeliste"/>
        <w:numPr>
          <w:ilvl w:val="0"/>
          <w:numId w:val="8"/>
        </w:numPr>
        <w:spacing w:after="240" w:line="360" w:lineRule="auto"/>
        <w:ind w:left="567" w:hanging="567"/>
        <w:contextualSpacing w:val="0"/>
        <w:rPr>
          <w:rFonts w:ascii="Garamond" w:hAnsi="Garamond" w:cs="Times New Roman"/>
          <w:szCs w:val="24"/>
          <w:lang w:val="en-GB"/>
        </w:rPr>
      </w:pPr>
      <w:r w:rsidRPr="003D0D5B">
        <w:rPr>
          <w:rFonts w:ascii="Garamond" w:hAnsi="Garamond" w:cs="Times New Roman"/>
          <w:szCs w:val="24"/>
          <w:lang w:val="en-GB"/>
        </w:rPr>
        <w:t>The Applicant was exposed to, and affected by extreme weather events related to climate change, notably by [flooding events/wildfires and intense heat/extreme meteorological events such as the tropical cyclone Irma which occurred in 2017], as detailed in [his/her] statement. [Further detailed in the Annex]</w:t>
      </w:r>
    </w:p>
    <w:p w14:paraId="704801D4" w14:textId="77777777" w:rsidR="008D4DEB" w:rsidRPr="003D070A" w:rsidRDefault="008D4DEB">
      <w:pPr>
        <w:pStyle w:val="Paragraphedeliste"/>
        <w:numPr>
          <w:ilvl w:val="0"/>
          <w:numId w:val="8"/>
        </w:numPr>
        <w:spacing w:after="240" w:line="360" w:lineRule="auto"/>
        <w:ind w:left="567" w:hanging="567"/>
        <w:contextualSpacing w:val="0"/>
        <w:jc w:val="both"/>
        <w:rPr>
          <w:rFonts w:ascii="Garamond" w:hAnsi="Garamond"/>
          <w:szCs w:val="24"/>
          <w:lang w:val="en-GB"/>
        </w:rPr>
      </w:pPr>
      <w:r w:rsidRPr="00DE6087">
        <w:rPr>
          <w:rFonts w:ascii="Garamond" w:hAnsi="Garamond" w:cs="Times New Roman"/>
          <w:szCs w:val="24"/>
          <w:lang w:val="en-GB"/>
        </w:rPr>
        <w:t xml:space="preserve">Such extreme events are connected to and exacerbated in frequency and severity by climate change, </w:t>
      </w:r>
      <w:r w:rsidRPr="003D070A">
        <w:rPr>
          <w:rFonts w:ascii="Garamond" w:hAnsi="Garamond" w:cs="Times New Roman"/>
          <w:szCs w:val="24"/>
          <w:lang w:val="en-GB"/>
        </w:rPr>
        <w:t>evidencing its already dire effects in Europe, as the mean annual temperature in Europe in the last decade was 1.94 to 2.01°C warmer than during the pre-industrial period.</w:t>
      </w:r>
      <w:r w:rsidRPr="00570F07">
        <w:rPr>
          <w:rStyle w:val="Appelnotedebasdep"/>
          <w:rFonts w:ascii="Garamond" w:hAnsi="Garamond" w:cs="Times New Roman"/>
          <w:szCs w:val="24"/>
          <w:lang w:val="en-GB"/>
        </w:rPr>
        <w:footnoteReference w:id="92"/>
      </w:r>
    </w:p>
    <w:p w14:paraId="157B1376" w14:textId="77777777" w:rsidR="008D4DEB" w:rsidRPr="003D0D5B" w:rsidRDefault="008D4DEB" w:rsidP="008D4DEB">
      <w:pPr>
        <w:spacing w:after="240"/>
        <w:jc w:val="both"/>
        <w:rPr>
          <w:rFonts w:ascii="Garamond" w:hAnsi="Garamond"/>
          <w:lang w:val="en-GB"/>
        </w:rPr>
      </w:pPr>
      <w:r w:rsidRPr="003E087A">
        <w:rPr>
          <w:rFonts w:ascii="Garamond" w:hAnsi="Garamond" w:cs="Times New Roman"/>
          <w:lang w:val="en-GB"/>
        </w:rPr>
        <w:t>[</w:t>
      </w:r>
      <w:r>
        <w:rPr>
          <w:rFonts w:ascii="Garamond" w:hAnsi="Garamond" w:cs="Times New Roman"/>
          <w:i/>
          <w:lang w:val="en-GB"/>
        </w:rPr>
        <w:t>Further detailed in the Annex</w:t>
      </w:r>
      <w:r w:rsidRPr="003E087A">
        <w:rPr>
          <w:rFonts w:ascii="Garamond" w:hAnsi="Garamond" w:cs="Times New Roman"/>
          <w:lang w:val="en-GB"/>
        </w:rPr>
        <w:t>]</w:t>
      </w:r>
    </w:p>
    <w:p w14:paraId="2DA649A5" w14:textId="77777777" w:rsidR="008D4DEB" w:rsidRDefault="008D4DEB">
      <w:pPr>
        <w:pStyle w:val="Paragraphedeliste"/>
        <w:numPr>
          <w:ilvl w:val="0"/>
          <w:numId w:val="8"/>
        </w:numPr>
        <w:spacing w:beforeLines="60" w:before="144" w:afterLines="60" w:after="144" w:line="360" w:lineRule="auto"/>
        <w:ind w:left="567" w:hanging="567"/>
        <w:contextualSpacing w:val="0"/>
        <w:jc w:val="both"/>
        <w:rPr>
          <w:rFonts w:ascii="Garamond" w:hAnsi="Garamond" w:cs="Times New Roman"/>
          <w:szCs w:val="24"/>
          <w:lang w:val="en-GB"/>
        </w:rPr>
      </w:pPr>
      <w:r w:rsidRPr="008F3A1A">
        <w:rPr>
          <w:rFonts w:ascii="Garamond" w:hAnsi="Garamond" w:cs="Times New Roman"/>
          <w:b/>
          <w:bCs/>
          <w:szCs w:val="24"/>
          <w:lang w:val="en-GB"/>
        </w:rPr>
        <w:t>Second</w:t>
      </w:r>
      <w:r w:rsidRPr="008F3A1A">
        <w:rPr>
          <w:rFonts w:ascii="Garamond" w:hAnsi="Garamond" w:cs="Times New Roman"/>
          <w:szCs w:val="24"/>
          <w:lang w:val="en-GB"/>
        </w:rPr>
        <w:t>, the Applicant</w:t>
      </w:r>
      <w:r>
        <w:rPr>
          <w:rFonts w:ascii="Garamond" w:hAnsi="Garamond" w:cs="Times New Roman"/>
          <w:szCs w:val="24"/>
          <w:lang w:val="en-GB"/>
        </w:rPr>
        <w:t xml:space="preserve"> is a</w:t>
      </w:r>
      <w:r w:rsidRPr="008F3A1A">
        <w:rPr>
          <w:rFonts w:ascii="Garamond" w:hAnsi="Garamond" w:cs="Times New Roman"/>
          <w:szCs w:val="24"/>
          <w:lang w:val="en-GB"/>
        </w:rPr>
        <w:t xml:space="preserve"> </w:t>
      </w:r>
      <w:r w:rsidRPr="00DA322D">
        <w:rPr>
          <w:rFonts w:ascii="Garamond" w:hAnsi="Garamond"/>
          <w:i/>
          <w:szCs w:val="24"/>
          <w:lang w:val="en-GB"/>
        </w:rPr>
        <w:t>potential</w:t>
      </w:r>
      <w:r w:rsidRPr="008F3A1A">
        <w:rPr>
          <w:rFonts w:ascii="Garamond" w:hAnsi="Garamond"/>
          <w:szCs w:val="24"/>
          <w:lang w:val="en-GB"/>
        </w:rPr>
        <w:t xml:space="preserve"> victim</w:t>
      </w:r>
      <w:r w:rsidRPr="008F3A1A">
        <w:rPr>
          <w:rFonts w:ascii="Garamond" w:hAnsi="Garamond" w:cs="Times New Roman"/>
          <w:szCs w:val="24"/>
          <w:lang w:val="en-GB"/>
        </w:rPr>
        <w:t xml:space="preserve">, as the impacts of climate change outlined above are increasing in frequency and severity, </w:t>
      </w:r>
      <w:r w:rsidRPr="003D0D5B">
        <w:rPr>
          <w:rFonts w:ascii="Garamond" w:hAnsi="Garamond" w:cs="Times New Roman"/>
          <w:szCs w:val="24"/>
          <w:lang w:val="en-GB"/>
        </w:rPr>
        <w:t xml:space="preserve">meaning that </w:t>
      </w:r>
      <w:r w:rsidRPr="003D0D5B">
        <w:rPr>
          <w:rFonts w:ascii="Garamond" w:hAnsi="Garamond" w:cs="Times New Roman"/>
          <w:iCs/>
          <w:szCs w:val="24"/>
          <w:lang w:val="en-GB"/>
        </w:rPr>
        <w:t>[h</w:t>
      </w:r>
      <w:r>
        <w:rPr>
          <w:rFonts w:ascii="Garamond" w:hAnsi="Garamond" w:cs="Times New Roman"/>
          <w:iCs/>
          <w:szCs w:val="24"/>
          <w:lang w:val="en-GB"/>
        </w:rPr>
        <w:t>e</w:t>
      </w:r>
      <w:r w:rsidRPr="003D0D5B">
        <w:rPr>
          <w:rFonts w:ascii="Garamond" w:hAnsi="Garamond" w:cs="Times New Roman"/>
          <w:iCs/>
          <w:szCs w:val="24"/>
          <w:lang w:val="en-GB"/>
        </w:rPr>
        <w:t>/</w:t>
      </w:r>
      <w:r>
        <w:rPr>
          <w:rFonts w:ascii="Garamond" w:hAnsi="Garamond" w:cs="Times New Roman"/>
          <w:iCs/>
          <w:szCs w:val="24"/>
          <w:lang w:val="en-GB"/>
        </w:rPr>
        <w:t>she</w:t>
      </w:r>
      <w:r w:rsidRPr="003D0D5B">
        <w:rPr>
          <w:rFonts w:ascii="Garamond" w:hAnsi="Garamond" w:cs="Times New Roman"/>
          <w:iCs/>
          <w:szCs w:val="24"/>
          <w:lang w:val="en-GB"/>
        </w:rPr>
        <w:t>]</w:t>
      </w:r>
      <w:r>
        <w:rPr>
          <w:rFonts w:ascii="Garamond" w:hAnsi="Garamond" w:cs="Times New Roman"/>
          <w:iCs/>
          <w:szCs w:val="24"/>
          <w:lang w:val="en-GB"/>
        </w:rPr>
        <w:t xml:space="preserve"> </w:t>
      </w:r>
      <w:r w:rsidRPr="003D0D5B">
        <w:rPr>
          <w:rFonts w:ascii="Garamond" w:hAnsi="Garamond" w:cs="Times New Roman"/>
          <w:szCs w:val="24"/>
          <w:lang w:val="en-GB"/>
        </w:rPr>
        <w:t>will live at</w:t>
      </w:r>
      <w:r w:rsidRPr="008F3A1A">
        <w:rPr>
          <w:rFonts w:ascii="Garamond" w:hAnsi="Garamond" w:cs="Times New Roman"/>
          <w:szCs w:val="24"/>
          <w:lang w:val="en-GB"/>
        </w:rPr>
        <w:t xml:space="preserve"> a time where the impacts of climate change are expected to be extreme, significantly threatening </w:t>
      </w:r>
      <w:r w:rsidRPr="003D0D5B">
        <w:rPr>
          <w:rFonts w:ascii="Garamond" w:hAnsi="Garamond" w:cs="Times New Roman"/>
          <w:iCs/>
          <w:szCs w:val="24"/>
          <w:lang w:val="en-GB"/>
        </w:rPr>
        <w:t xml:space="preserve">[his/her] </w:t>
      </w:r>
      <w:r w:rsidRPr="008F3A1A">
        <w:rPr>
          <w:rFonts w:ascii="Garamond" w:hAnsi="Garamond" w:cs="Times New Roman"/>
          <w:szCs w:val="24"/>
          <w:lang w:val="en-GB"/>
        </w:rPr>
        <w:t xml:space="preserve">rights under Articles 2 and 8 of the Convention. </w:t>
      </w:r>
    </w:p>
    <w:p w14:paraId="5F64061F" w14:textId="77777777" w:rsidR="008D4DEB" w:rsidRPr="003D0D5B" w:rsidRDefault="008D4DEB" w:rsidP="008D4DEB">
      <w:pPr>
        <w:spacing w:after="240"/>
        <w:jc w:val="both"/>
        <w:rPr>
          <w:rFonts w:ascii="Garamond" w:hAnsi="Garamond"/>
          <w:lang w:val="en-GB"/>
        </w:rPr>
      </w:pPr>
      <w:r w:rsidRPr="003D0D5B">
        <w:rPr>
          <w:rFonts w:ascii="Garamond" w:hAnsi="Garamond" w:cs="Times New Roman"/>
          <w:lang w:val="en-GB"/>
        </w:rPr>
        <w:t>[</w:t>
      </w:r>
      <w:r w:rsidRPr="003D0D5B">
        <w:rPr>
          <w:rFonts w:ascii="Garamond" w:hAnsi="Garamond" w:cs="Times New Roman"/>
          <w:i/>
          <w:lang w:val="en-GB"/>
        </w:rPr>
        <w:t>Further detailed in the Annex</w:t>
      </w:r>
      <w:r w:rsidRPr="003D0D5B">
        <w:rPr>
          <w:rFonts w:ascii="Garamond" w:hAnsi="Garamond" w:cs="Times New Roman"/>
          <w:lang w:val="en-GB"/>
        </w:rPr>
        <w:t>]</w:t>
      </w:r>
    </w:p>
    <w:p w14:paraId="1B4BC288" w14:textId="77777777" w:rsidR="008D4DEB" w:rsidRPr="00DA322D" w:rsidRDefault="008D4DEB">
      <w:pPr>
        <w:pStyle w:val="Paragraphedeliste"/>
        <w:numPr>
          <w:ilvl w:val="0"/>
          <w:numId w:val="8"/>
        </w:numPr>
        <w:spacing w:beforeLines="60" w:before="144" w:afterLines="60" w:after="144" w:line="360" w:lineRule="auto"/>
        <w:ind w:left="567" w:hanging="567"/>
        <w:contextualSpacing w:val="0"/>
        <w:jc w:val="both"/>
        <w:rPr>
          <w:rFonts w:ascii="Garamond" w:hAnsi="Garamond" w:cs="Times New Roman"/>
          <w:szCs w:val="24"/>
          <w:lang w:val="en-GB"/>
        </w:rPr>
      </w:pPr>
      <w:r w:rsidRPr="00516670">
        <w:rPr>
          <w:rFonts w:ascii="Garamond" w:eastAsia="Calibri" w:hAnsi="Garamond" w:cs="Times New Roman"/>
          <w:szCs w:val="24"/>
          <w:lang w:val="en-GB"/>
        </w:rPr>
        <w:t>Such events pose a significant threat to the Applicant’ home</w:t>
      </w:r>
      <w:r>
        <w:rPr>
          <w:rFonts w:ascii="Garamond" w:eastAsia="Calibri" w:hAnsi="Garamond" w:cs="Times New Roman"/>
          <w:szCs w:val="24"/>
          <w:lang w:val="en-GB"/>
        </w:rPr>
        <w:t xml:space="preserve"> </w:t>
      </w:r>
      <w:r w:rsidRPr="00516670">
        <w:rPr>
          <w:rFonts w:ascii="Garamond" w:eastAsia="Calibri" w:hAnsi="Garamond" w:cs="Times New Roman"/>
          <w:szCs w:val="24"/>
          <w:lang w:val="en-GB"/>
        </w:rPr>
        <w:t xml:space="preserve">as well as </w:t>
      </w:r>
      <w:r w:rsidRPr="003D0D5B">
        <w:rPr>
          <w:rFonts w:ascii="Garamond" w:hAnsi="Garamond" w:cs="Times New Roman"/>
          <w:iCs/>
          <w:szCs w:val="24"/>
          <w:lang w:val="en-GB"/>
        </w:rPr>
        <w:t xml:space="preserve">[his/her] </w:t>
      </w:r>
      <w:r w:rsidRPr="00516670">
        <w:rPr>
          <w:rFonts w:ascii="Garamond" w:eastAsia="Calibri" w:hAnsi="Garamond" w:cs="Times New Roman"/>
          <w:szCs w:val="24"/>
          <w:lang w:val="en-GB"/>
        </w:rPr>
        <w:t>health and li</w:t>
      </w:r>
      <w:r>
        <w:rPr>
          <w:rFonts w:ascii="Garamond" w:eastAsia="Calibri" w:hAnsi="Garamond" w:cs="Times New Roman"/>
          <w:szCs w:val="24"/>
          <w:lang w:val="en-GB"/>
        </w:rPr>
        <w:t>f</w:t>
      </w:r>
      <w:r w:rsidRPr="00516670">
        <w:rPr>
          <w:rFonts w:ascii="Garamond" w:eastAsia="Calibri" w:hAnsi="Garamond" w:cs="Times New Roman"/>
          <w:szCs w:val="24"/>
          <w:lang w:val="en-GB"/>
        </w:rPr>
        <w:t>e in violation of Article 2 and Article 8.</w:t>
      </w:r>
      <w:r w:rsidRPr="00516670">
        <w:rPr>
          <w:rStyle w:val="Appelnotedebasdep"/>
          <w:rFonts w:ascii="Garamond" w:eastAsia="Calibri" w:hAnsi="Garamond" w:cs="Times New Roman"/>
          <w:szCs w:val="24"/>
          <w:lang w:val="en-GB"/>
        </w:rPr>
        <w:footnoteReference w:id="93"/>
      </w:r>
      <w:r w:rsidRPr="00516670">
        <w:rPr>
          <w:rFonts w:ascii="Garamond" w:eastAsia="Calibri" w:hAnsi="Garamond" w:cs="Times New Roman"/>
          <w:szCs w:val="24"/>
          <w:lang w:val="en-GB"/>
        </w:rPr>
        <w:t xml:space="preserve"> </w:t>
      </w:r>
      <w:r w:rsidRPr="00DA322D">
        <w:rPr>
          <w:rFonts w:ascii="Garamond" w:hAnsi="Garamond" w:cs="Times New Roman"/>
          <w:szCs w:val="24"/>
          <w:lang w:val="en-GB"/>
        </w:rPr>
        <w:t>The potential risks to the Applicant’</w:t>
      </w:r>
      <w:r>
        <w:rPr>
          <w:rFonts w:ascii="Garamond" w:hAnsi="Garamond" w:cs="Times New Roman"/>
          <w:szCs w:val="24"/>
          <w:lang w:val="en-GB"/>
        </w:rPr>
        <w:t>s</w:t>
      </w:r>
      <w:r w:rsidRPr="00DA322D">
        <w:rPr>
          <w:rFonts w:ascii="Garamond" w:hAnsi="Garamond" w:cs="Times New Roman"/>
          <w:szCs w:val="24"/>
          <w:lang w:val="en-GB"/>
        </w:rPr>
        <w:t xml:space="preserve"> rights are particularly grave given </w:t>
      </w:r>
      <w:r w:rsidRPr="003D0D5B">
        <w:rPr>
          <w:rFonts w:ascii="Garamond" w:hAnsi="Garamond" w:cs="Times New Roman"/>
          <w:iCs/>
          <w:szCs w:val="24"/>
          <w:lang w:val="en-GB"/>
        </w:rPr>
        <w:t>[his/her]</w:t>
      </w:r>
      <w:r w:rsidRPr="00DA322D">
        <w:rPr>
          <w:rFonts w:ascii="Garamond" w:hAnsi="Garamond" w:cs="Times New Roman"/>
          <w:szCs w:val="24"/>
          <w:lang w:val="en-GB"/>
        </w:rPr>
        <w:t xml:space="preserve"> status as youth</w:t>
      </w:r>
      <w:r>
        <w:rPr>
          <w:rFonts w:ascii="Garamond" w:hAnsi="Garamond" w:cs="Times New Roman"/>
          <w:szCs w:val="24"/>
          <w:lang w:val="en-GB"/>
        </w:rPr>
        <w:t>, as</w:t>
      </w:r>
      <w:r w:rsidRPr="00DA322D">
        <w:rPr>
          <w:rFonts w:ascii="Garamond" w:hAnsi="Garamond" w:cs="Times New Roman"/>
          <w:szCs w:val="24"/>
          <w:lang w:val="en-GB"/>
        </w:rPr>
        <w:t xml:space="preserve"> a large number of these impacts will materialise in the coming decades, over the course of </w:t>
      </w:r>
      <w:r w:rsidRPr="003D0D5B">
        <w:rPr>
          <w:rFonts w:ascii="Garamond" w:hAnsi="Garamond" w:cs="Times New Roman"/>
          <w:iCs/>
          <w:szCs w:val="24"/>
          <w:lang w:val="en-GB"/>
        </w:rPr>
        <w:t xml:space="preserve">[his/her] </w:t>
      </w:r>
      <w:r w:rsidRPr="00DA322D">
        <w:rPr>
          <w:rFonts w:ascii="Garamond" w:hAnsi="Garamond" w:cs="Times New Roman"/>
          <w:szCs w:val="24"/>
          <w:lang w:val="en-GB"/>
        </w:rPr>
        <w:t>adult li</w:t>
      </w:r>
      <w:r>
        <w:rPr>
          <w:rFonts w:ascii="Garamond" w:hAnsi="Garamond" w:cs="Times New Roman"/>
          <w:szCs w:val="24"/>
          <w:lang w:val="en-GB"/>
        </w:rPr>
        <w:t>fe</w:t>
      </w:r>
      <w:r w:rsidRPr="00DA322D">
        <w:rPr>
          <w:rFonts w:ascii="Garamond" w:hAnsi="Garamond" w:cs="Times New Roman"/>
          <w:szCs w:val="24"/>
          <w:lang w:val="en-GB"/>
        </w:rPr>
        <w:t>.</w:t>
      </w:r>
      <w:r>
        <w:rPr>
          <w:rFonts w:ascii="Garamond" w:hAnsi="Garamond" w:cs="Times New Roman"/>
          <w:szCs w:val="24"/>
          <w:lang w:val="en-GB"/>
        </w:rPr>
        <w:t xml:space="preserve"> </w:t>
      </w:r>
      <w:r w:rsidRPr="00411EFB">
        <w:rPr>
          <w:rFonts w:ascii="Garamond" w:hAnsi="Garamond" w:cs="Times New Roman"/>
          <w:szCs w:val="24"/>
          <w:lang w:val="en-GB"/>
        </w:rPr>
        <w:t>In addition, as described in his/her statement, the Applicant’s own experience has made him/her even more vulnerable to such impacts.</w:t>
      </w:r>
    </w:p>
    <w:p w14:paraId="4472AB21" w14:textId="77777777" w:rsidR="008D4DEB" w:rsidRPr="00881AAB" w:rsidRDefault="008D4DEB">
      <w:pPr>
        <w:pStyle w:val="Paragraphedeliste"/>
        <w:numPr>
          <w:ilvl w:val="0"/>
          <w:numId w:val="8"/>
        </w:numPr>
        <w:spacing w:beforeLines="60" w:before="144" w:afterLines="60" w:after="144" w:line="360" w:lineRule="auto"/>
        <w:ind w:left="567" w:hanging="567"/>
        <w:contextualSpacing w:val="0"/>
        <w:jc w:val="both"/>
        <w:rPr>
          <w:rFonts w:ascii="Garamond" w:hAnsi="Garamond" w:cs="Times New Roman"/>
          <w:szCs w:val="24"/>
          <w:lang w:val="en-GB"/>
        </w:rPr>
      </w:pPr>
      <w:r w:rsidRPr="008F3A1A">
        <w:rPr>
          <w:rFonts w:ascii="Garamond" w:hAnsi="Garamond" w:cs="Times New Roman"/>
          <w:szCs w:val="24"/>
          <w:lang w:val="en-GB"/>
        </w:rPr>
        <w:lastRenderedPageBreak/>
        <w:t>The Applicant</w:t>
      </w:r>
      <w:r>
        <w:rPr>
          <w:rFonts w:ascii="Garamond" w:hAnsi="Garamond" w:cs="Times New Roman"/>
          <w:szCs w:val="24"/>
          <w:lang w:val="en-GB"/>
        </w:rPr>
        <w:t xml:space="preserve"> is </w:t>
      </w:r>
      <w:r w:rsidRPr="008F3A1A">
        <w:rPr>
          <w:rFonts w:ascii="Garamond" w:hAnsi="Garamond" w:cs="Times New Roman"/>
          <w:szCs w:val="24"/>
          <w:lang w:val="en-GB"/>
        </w:rPr>
        <w:t>thus member of a class of persons (</w:t>
      </w:r>
      <w:r>
        <w:rPr>
          <w:rFonts w:ascii="Garamond" w:hAnsi="Garamond" w:cs="Times New Roman"/>
          <w:szCs w:val="24"/>
          <w:lang w:val="en-GB"/>
        </w:rPr>
        <w:t>…</w:t>
      </w:r>
      <w:r w:rsidRPr="003D0D5B">
        <w:rPr>
          <w:rFonts w:ascii="Garamond" w:hAnsi="Garamond" w:cs="Times New Roman"/>
          <w:szCs w:val="24"/>
          <w:lang w:val="en-GB"/>
        </w:rPr>
        <w:t>)</w:t>
      </w:r>
      <w:r w:rsidRPr="008F3A1A">
        <w:rPr>
          <w:rFonts w:ascii="Garamond" w:hAnsi="Garamond" w:cs="Times New Roman"/>
          <w:szCs w:val="24"/>
          <w:lang w:val="en-GB"/>
        </w:rPr>
        <w:t xml:space="preserve"> at significant risk of being affected by the Respondent States’ failures to comply with </w:t>
      </w:r>
      <w:r>
        <w:rPr>
          <w:rFonts w:ascii="Garamond" w:hAnsi="Garamond" w:cs="Times New Roman"/>
          <w:szCs w:val="24"/>
          <w:lang w:val="en-GB"/>
        </w:rPr>
        <w:t>his</w:t>
      </w:r>
      <w:r w:rsidRPr="008F3A1A">
        <w:rPr>
          <w:rFonts w:ascii="Garamond" w:hAnsi="Garamond" w:cs="Times New Roman"/>
          <w:szCs w:val="24"/>
          <w:lang w:val="en-GB"/>
        </w:rPr>
        <w:t xml:space="preserve"> Convention rights.</w:t>
      </w:r>
      <w:r w:rsidRPr="008F3A1A">
        <w:rPr>
          <w:rStyle w:val="Appelnotedebasdep"/>
          <w:rFonts w:ascii="Garamond" w:hAnsi="Garamond" w:cs="Times New Roman"/>
          <w:szCs w:val="24"/>
          <w:lang w:val="en-GB"/>
        </w:rPr>
        <w:footnoteReference w:id="94"/>
      </w:r>
      <w:r w:rsidRPr="008F3A1A">
        <w:rPr>
          <w:rFonts w:ascii="Garamond" w:hAnsi="Garamond" w:cs="Times New Roman"/>
          <w:szCs w:val="24"/>
          <w:lang w:val="en-GB"/>
        </w:rPr>
        <w:t xml:space="preserve"> </w:t>
      </w:r>
    </w:p>
    <w:p w14:paraId="7E1BF504" w14:textId="77777777" w:rsidR="008D4DEB" w:rsidRPr="00516670" w:rsidRDefault="008D4DEB">
      <w:pPr>
        <w:pStyle w:val="Paragraphedeliste"/>
        <w:numPr>
          <w:ilvl w:val="0"/>
          <w:numId w:val="8"/>
        </w:numPr>
        <w:spacing w:beforeLines="60" w:before="144" w:afterLines="60" w:after="144" w:line="360" w:lineRule="auto"/>
        <w:ind w:left="567" w:hanging="567"/>
        <w:contextualSpacing w:val="0"/>
        <w:jc w:val="both"/>
        <w:rPr>
          <w:rFonts w:ascii="Garamond" w:hAnsi="Garamond" w:cs="Times New Roman"/>
          <w:szCs w:val="24"/>
          <w:lang w:val="en-GB"/>
        </w:rPr>
      </w:pPr>
      <w:r w:rsidRPr="00516670">
        <w:rPr>
          <w:rFonts w:ascii="Garamond" w:eastAsia="Calibri" w:hAnsi="Garamond" w:cs="Times New Roman"/>
          <w:szCs w:val="24"/>
          <w:lang w:val="en-GB"/>
        </w:rPr>
        <w:t xml:space="preserve">The </w:t>
      </w:r>
      <w:r w:rsidRPr="00516670">
        <w:rPr>
          <w:rFonts w:ascii="Garamond" w:hAnsi="Garamond"/>
          <w:szCs w:val="24"/>
          <w:lang w:val="en-GB"/>
        </w:rPr>
        <w:t>threat of climate change induced harms will intensify over time</w:t>
      </w:r>
      <w:r w:rsidRPr="00516670">
        <w:rPr>
          <w:rFonts w:ascii="Garamond" w:eastAsia="Calibri" w:hAnsi="Garamond" w:cs="Times New Roman"/>
          <w:szCs w:val="24"/>
          <w:lang w:val="en-GB"/>
        </w:rPr>
        <w:t>,</w:t>
      </w:r>
      <w:r w:rsidRPr="00516670">
        <w:rPr>
          <w:rStyle w:val="Appelnotedebasdep"/>
          <w:rFonts w:ascii="Garamond" w:hAnsi="Garamond"/>
          <w:szCs w:val="24"/>
          <w:lang w:val="en-GB"/>
        </w:rPr>
        <w:footnoteReference w:id="95"/>
      </w:r>
      <w:r w:rsidRPr="00516670">
        <w:rPr>
          <w:rFonts w:ascii="Garamond" w:eastAsia="Calibri" w:hAnsi="Garamond" w:cs="Times New Roman"/>
          <w:szCs w:val="24"/>
          <w:lang w:val="en-GB"/>
        </w:rPr>
        <w:t xml:space="preserve"> thus meeting the gravity threshold for the application of those provisions.</w:t>
      </w:r>
    </w:p>
    <w:p w14:paraId="1193871A" w14:textId="77777777" w:rsidR="008D4DEB" w:rsidRPr="008F3A1A" w:rsidRDefault="008D4DEB">
      <w:pPr>
        <w:pStyle w:val="Paragraphedeliste"/>
        <w:numPr>
          <w:ilvl w:val="0"/>
          <w:numId w:val="8"/>
        </w:numPr>
        <w:autoSpaceDE w:val="0"/>
        <w:autoSpaceDN w:val="0"/>
        <w:adjustRightInd w:val="0"/>
        <w:spacing w:beforeLines="60" w:before="144" w:afterLines="60" w:after="144" w:line="360" w:lineRule="auto"/>
        <w:ind w:left="567" w:hanging="567"/>
        <w:contextualSpacing w:val="0"/>
        <w:jc w:val="both"/>
        <w:rPr>
          <w:rFonts w:ascii="Garamond" w:eastAsia="Calibri-Italic" w:hAnsi="Garamond" w:cs="Times New Roman"/>
          <w:szCs w:val="24"/>
          <w:lang w:val="en-GB"/>
        </w:rPr>
      </w:pPr>
      <w:r w:rsidRPr="008F3A1A">
        <w:rPr>
          <w:rFonts w:ascii="Garamond" w:hAnsi="Garamond" w:cs="Times New Roman"/>
          <w:b/>
          <w:bCs/>
          <w:iCs/>
          <w:szCs w:val="24"/>
          <w:lang w:val="en-GB"/>
        </w:rPr>
        <w:t>Third</w:t>
      </w:r>
      <w:r w:rsidRPr="008F3A1A">
        <w:rPr>
          <w:rFonts w:ascii="Garamond" w:eastAsia="Calibri-Italic" w:hAnsi="Garamond" w:cs="Times New Roman"/>
          <w:szCs w:val="24"/>
          <w:lang w:val="en-GB"/>
        </w:rPr>
        <w:t xml:space="preserve">, that the Respondent States’ have not individually caused the climate impacts affecting the Applicant is no barrier to establishing victim status. </w:t>
      </w:r>
      <w:r w:rsidRPr="008F3A1A">
        <w:rPr>
          <w:rFonts w:ascii="Garamond" w:hAnsi="Garamond" w:cs="Times New Roman"/>
          <w:iCs/>
          <w:szCs w:val="24"/>
          <w:lang w:val="en-GB"/>
        </w:rPr>
        <w:t>U</w:t>
      </w:r>
      <w:r w:rsidRPr="008F3A1A">
        <w:rPr>
          <w:rFonts w:ascii="Garamond" w:eastAsia="Calibri-Italic" w:hAnsi="Garamond" w:cs="Times New Roman"/>
          <w:szCs w:val="24"/>
          <w:lang w:val="en-GB"/>
        </w:rPr>
        <w:t>nder the Court’s case law, it is not necessary to show a ‘but for’ test for causation.</w:t>
      </w:r>
      <w:r w:rsidRPr="008F3A1A">
        <w:rPr>
          <w:rStyle w:val="Appelnotedebasdep"/>
          <w:rFonts w:ascii="Garamond" w:hAnsi="Garamond"/>
          <w:szCs w:val="24"/>
          <w:lang w:val="en-GB"/>
        </w:rPr>
        <w:footnoteReference w:id="96"/>
      </w:r>
      <w:r w:rsidRPr="008F3A1A">
        <w:rPr>
          <w:rFonts w:ascii="Garamond" w:eastAsia="Calibri-Italic" w:hAnsi="Garamond" w:cs="Times New Roman"/>
          <w:szCs w:val="24"/>
          <w:lang w:val="en-GB"/>
        </w:rPr>
        <w:t xml:space="preserve"> It has often been sufficient to show that a State’s failure to take reasonable available measures </w:t>
      </w:r>
      <w:r w:rsidRPr="008F3A1A">
        <w:rPr>
          <w:rFonts w:ascii="Garamond" w:eastAsia="Calibri-Italic" w:hAnsi="Garamond" w:cs="Times New Roman"/>
          <w:i/>
          <w:iCs/>
          <w:szCs w:val="24"/>
          <w:lang w:val="en-GB"/>
        </w:rPr>
        <w:t>could</w:t>
      </w:r>
      <w:r w:rsidRPr="008F3A1A">
        <w:rPr>
          <w:rFonts w:ascii="Garamond" w:eastAsia="Calibri-Italic" w:hAnsi="Garamond" w:cs="Times New Roman"/>
          <w:szCs w:val="24"/>
          <w:lang w:val="en-GB"/>
        </w:rPr>
        <w:t xml:space="preserve"> have had a real prospect of altering the impact on an applicant’s rights.</w:t>
      </w:r>
      <w:r w:rsidRPr="008F3A1A">
        <w:rPr>
          <w:rStyle w:val="Appelnotedebasdep"/>
          <w:rFonts w:ascii="Garamond" w:eastAsia="Calibri-Italic" w:hAnsi="Garamond" w:cs="Times New Roman"/>
          <w:szCs w:val="24"/>
          <w:lang w:val="en-GB"/>
        </w:rPr>
        <w:footnoteReference w:id="97"/>
      </w:r>
    </w:p>
    <w:p w14:paraId="63B2B29B" w14:textId="77777777" w:rsidR="008D4DEB" w:rsidRPr="008F3A1A" w:rsidRDefault="008D4DEB">
      <w:pPr>
        <w:pStyle w:val="Paragraphedeliste"/>
        <w:numPr>
          <w:ilvl w:val="0"/>
          <w:numId w:val="8"/>
        </w:numPr>
        <w:autoSpaceDE w:val="0"/>
        <w:autoSpaceDN w:val="0"/>
        <w:adjustRightInd w:val="0"/>
        <w:spacing w:beforeLines="60" w:before="144" w:afterLines="60" w:after="144" w:line="360" w:lineRule="auto"/>
        <w:ind w:left="567" w:hanging="567"/>
        <w:contextualSpacing w:val="0"/>
        <w:jc w:val="both"/>
        <w:rPr>
          <w:rFonts w:ascii="Garamond" w:eastAsia="Calibri-Italic" w:hAnsi="Garamond" w:cs="Times New Roman"/>
          <w:szCs w:val="24"/>
          <w:lang w:val="en-GB"/>
        </w:rPr>
      </w:pPr>
      <w:r w:rsidRPr="008F3A1A">
        <w:rPr>
          <w:rFonts w:ascii="Garamond" w:hAnsi="Garamond" w:cs="Times New Roman"/>
          <w:iCs/>
          <w:szCs w:val="24"/>
          <w:lang w:val="en-GB"/>
        </w:rPr>
        <w:t>In the context of climate change, there is a sufficient causal link between the acts and omissions of each Respondent State and the impact on the Applicant’</w:t>
      </w:r>
      <w:r>
        <w:rPr>
          <w:rFonts w:ascii="Garamond" w:hAnsi="Garamond" w:cs="Times New Roman"/>
          <w:iCs/>
          <w:szCs w:val="24"/>
          <w:lang w:val="en-GB"/>
        </w:rPr>
        <w:t>s</w:t>
      </w:r>
      <w:r w:rsidRPr="008F3A1A">
        <w:rPr>
          <w:rFonts w:ascii="Garamond" w:hAnsi="Garamond" w:cs="Times New Roman"/>
          <w:iCs/>
          <w:szCs w:val="24"/>
          <w:lang w:val="en-GB"/>
        </w:rPr>
        <w:t xml:space="preserve"> rights under </w:t>
      </w:r>
      <w:r w:rsidRPr="0076699B">
        <w:rPr>
          <w:rFonts w:ascii="Garamond" w:hAnsi="Garamond" w:cs="Times New Roman"/>
          <w:iCs/>
          <w:szCs w:val="24"/>
          <w:lang w:val="en-GB"/>
        </w:rPr>
        <w:t>Articles 2 and 8 in that</w:t>
      </w:r>
      <w:r w:rsidRPr="008F3A1A">
        <w:rPr>
          <w:rFonts w:ascii="Garamond" w:hAnsi="Garamond" w:cs="Times New Roman"/>
          <w:iCs/>
          <w:szCs w:val="24"/>
          <w:lang w:val="en-GB"/>
        </w:rPr>
        <w:t>:</w:t>
      </w:r>
    </w:p>
    <w:p w14:paraId="597ACD0F" w14:textId="77777777" w:rsidR="008D4DEB" w:rsidRPr="008F3A1A" w:rsidRDefault="008D4DEB">
      <w:pPr>
        <w:pStyle w:val="Paragraphedeliste"/>
        <w:numPr>
          <w:ilvl w:val="1"/>
          <w:numId w:val="8"/>
        </w:numPr>
        <w:autoSpaceDE w:val="0"/>
        <w:autoSpaceDN w:val="0"/>
        <w:adjustRightInd w:val="0"/>
        <w:spacing w:beforeLines="60" w:before="144" w:afterLines="60" w:after="144" w:line="360" w:lineRule="auto"/>
        <w:ind w:left="786"/>
        <w:contextualSpacing w:val="0"/>
        <w:jc w:val="both"/>
        <w:rPr>
          <w:rFonts w:ascii="Garamond" w:eastAsia="Calibri-Italic" w:hAnsi="Garamond" w:cs="Times New Roman"/>
          <w:szCs w:val="24"/>
          <w:lang w:val="en-GB"/>
        </w:rPr>
      </w:pPr>
      <w:r w:rsidRPr="008F3A1A">
        <w:rPr>
          <w:rFonts w:ascii="Garamond" w:eastAsia="Calibri-Italic" w:hAnsi="Garamond" w:cs="Times New Roman"/>
          <w:szCs w:val="24"/>
          <w:lang w:val="en-GB"/>
        </w:rPr>
        <w:t>The Respondent States acts and omissions with regard to the ECT have materially contributed to the risk of the harm posed by climate change to the Applicant in circumstances where there are multiple contributing States causing “</w:t>
      </w:r>
      <w:r w:rsidRPr="008F3A1A">
        <w:rPr>
          <w:rFonts w:ascii="Garamond" w:eastAsia="Calibri-Italic" w:hAnsi="Garamond" w:cs="Times New Roman"/>
          <w:i/>
          <w:iCs/>
          <w:szCs w:val="24"/>
          <w:lang w:val="en-GB"/>
        </w:rPr>
        <w:t>indivisible injury”</w:t>
      </w:r>
      <w:r w:rsidRPr="008F3A1A">
        <w:rPr>
          <w:rFonts w:ascii="Garamond" w:eastAsia="Calibri-Italic" w:hAnsi="Garamond" w:cs="Times New Roman"/>
          <w:szCs w:val="24"/>
          <w:lang w:val="en-GB"/>
        </w:rPr>
        <w:t xml:space="preserve"> to the Applicant.</w:t>
      </w:r>
      <w:r w:rsidRPr="008F3A1A">
        <w:rPr>
          <w:rStyle w:val="Appelnotedebasdep"/>
          <w:rFonts w:ascii="Garamond" w:eastAsia="Calibri-Italic" w:hAnsi="Garamond" w:cs="Times New Roman"/>
          <w:szCs w:val="24"/>
          <w:lang w:val="en-GB"/>
        </w:rPr>
        <w:footnoteReference w:id="98"/>
      </w:r>
      <w:r w:rsidRPr="008F3A1A">
        <w:rPr>
          <w:rFonts w:ascii="Garamond" w:eastAsia="Calibri-Italic" w:hAnsi="Garamond" w:cs="Times New Roman"/>
          <w:szCs w:val="24"/>
          <w:lang w:val="en-GB"/>
        </w:rPr>
        <w:t xml:space="preserve"> </w:t>
      </w:r>
    </w:p>
    <w:p w14:paraId="57198FBD" w14:textId="77777777" w:rsidR="008D4DEB" w:rsidRPr="008F3A1A" w:rsidRDefault="008D4DEB">
      <w:pPr>
        <w:pStyle w:val="Paragraphedeliste"/>
        <w:numPr>
          <w:ilvl w:val="1"/>
          <w:numId w:val="8"/>
        </w:numPr>
        <w:autoSpaceDE w:val="0"/>
        <w:autoSpaceDN w:val="0"/>
        <w:adjustRightInd w:val="0"/>
        <w:spacing w:beforeLines="60" w:before="144" w:afterLines="60" w:after="144" w:line="360" w:lineRule="auto"/>
        <w:ind w:left="786"/>
        <w:contextualSpacing w:val="0"/>
        <w:jc w:val="both"/>
        <w:rPr>
          <w:rFonts w:ascii="Garamond" w:eastAsia="Calibri-Italic" w:hAnsi="Garamond" w:cs="Times New Roman"/>
          <w:szCs w:val="24"/>
          <w:lang w:val="en-GB"/>
        </w:rPr>
      </w:pPr>
      <w:r w:rsidRPr="008F3A1A">
        <w:rPr>
          <w:rFonts w:ascii="Garamond" w:eastAsia="Calibri-Italic" w:hAnsi="Garamond" w:cs="Times New Roman"/>
          <w:szCs w:val="24"/>
          <w:lang w:val="en-GB"/>
        </w:rPr>
        <w:t>If the Applicant w</w:t>
      </w:r>
      <w:r>
        <w:rPr>
          <w:rFonts w:ascii="Garamond" w:eastAsia="Calibri-Italic" w:hAnsi="Garamond" w:cs="Times New Roman"/>
          <w:szCs w:val="24"/>
          <w:lang w:val="en-GB"/>
        </w:rPr>
        <w:t>as</w:t>
      </w:r>
      <w:r w:rsidRPr="008F3A1A">
        <w:rPr>
          <w:rFonts w:ascii="Garamond" w:eastAsia="Calibri-Italic" w:hAnsi="Garamond" w:cs="Times New Roman"/>
          <w:szCs w:val="24"/>
          <w:lang w:val="en-GB"/>
        </w:rPr>
        <w:t xml:space="preserve"> denied protection of </w:t>
      </w:r>
      <w:r w:rsidRPr="003D0D5B">
        <w:rPr>
          <w:rFonts w:ascii="Garamond" w:hAnsi="Garamond" w:cs="Times New Roman"/>
          <w:iCs/>
          <w:szCs w:val="24"/>
          <w:lang w:val="en-GB"/>
        </w:rPr>
        <w:t xml:space="preserve">[his/her] </w:t>
      </w:r>
      <w:r w:rsidRPr="008F3A1A">
        <w:rPr>
          <w:rFonts w:ascii="Garamond" w:eastAsia="Calibri-Italic" w:hAnsi="Garamond" w:cs="Times New Roman"/>
          <w:szCs w:val="24"/>
          <w:lang w:val="en-GB"/>
        </w:rPr>
        <w:t>Convention rights by reason of the inability to prove that each Respondent State individually caused global warming beyond 1.5</w:t>
      </w:r>
      <w:r w:rsidRPr="008F3A1A">
        <w:rPr>
          <w:rFonts w:eastAsia="Calibri-Italic" w:cs="Times New Roman"/>
          <w:szCs w:val="24"/>
          <w:lang w:val="en-GB" w:eastAsia="ja-JP"/>
        </w:rPr>
        <w:t>℃</w:t>
      </w:r>
      <w:r w:rsidRPr="008F3A1A">
        <w:rPr>
          <w:rFonts w:ascii="Garamond" w:eastAsia="Calibri-Italic" w:hAnsi="Garamond" w:cs="Times New Roman"/>
          <w:szCs w:val="24"/>
          <w:lang w:val="en-GB" w:eastAsia="ja-JP"/>
        </w:rPr>
        <w:t xml:space="preserve">, this would undermine the effective and practical protection of </w:t>
      </w:r>
      <w:r w:rsidRPr="003D0D5B">
        <w:rPr>
          <w:rFonts w:ascii="Garamond" w:hAnsi="Garamond" w:cs="Times New Roman"/>
          <w:iCs/>
          <w:szCs w:val="24"/>
          <w:lang w:val="en-GB"/>
        </w:rPr>
        <w:t xml:space="preserve">[his/her] </w:t>
      </w:r>
      <w:r w:rsidRPr="008F3A1A">
        <w:rPr>
          <w:rFonts w:ascii="Garamond" w:eastAsia="Calibri-Italic" w:hAnsi="Garamond" w:cs="Times New Roman"/>
          <w:szCs w:val="24"/>
          <w:lang w:val="en-GB" w:eastAsia="ja-JP"/>
        </w:rPr>
        <w:t>rights in the context of climate change.</w:t>
      </w:r>
    </w:p>
    <w:p w14:paraId="0AAC36F5" w14:textId="77777777" w:rsidR="008D4DEB" w:rsidRPr="008F3A1A" w:rsidRDefault="008D4DEB">
      <w:pPr>
        <w:pStyle w:val="Paragraphedeliste"/>
        <w:numPr>
          <w:ilvl w:val="1"/>
          <w:numId w:val="8"/>
        </w:numPr>
        <w:autoSpaceDE w:val="0"/>
        <w:autoSpaceDN w:val="0"/>
        <w:adjustRightInd w:val="0"/>
        <w:spacing w:beforeLines="60" w:before="144" w:afterLines="60" w:after="144" w:line="360" w:lineRule="auto"/>
        <w:ind w:left="786"/>
        <w:contextualSpacing w:val="0"/>
        <w:jc w:val="both"/>
        <w:rPr>
          <w:rFonts w:ascii="Garamond" w:hAnsi="Garamond" w:cs="Times New Roman"/>
          <w:szCs w:val="24"/>
          <w:lang w:val="en-GB"/>
        </w:rPr>
      </w:pPr>
      <w:r w:rsidRPr="008F3A1A">
        <w:rPr>
          <w:rFonts w:ascii="Garamond" w:eastAsia="Calibri-Italic" w:hAnsi="Garamond" w:cs="Times New Roman"/>
          <w:szCs w:val="24"/>
          <w:lang w:val="en-GB"/>
        </w:rPr>
        <w:t>The Applicant’</w:t>
      </w:r>
      <w:r>
        <w:rPr>
          <w:rFonts w:ascii="Garamond" w:eastAsia="Calibri-Italic" w:hAnsi="Garamond" w:cs="Times New Roman"/>
          <w:szCs w:val="24"/>
          <w:lang w:val="en-GB"/>
        </w:rPr>
        <w:t>s</w:t>
      </w:r>
      <w:r w:rsidRPr="008F3A1A">
        <w:rPr>
          <w:rFonts w:ascii="Garamond" w:eastAsia="Calibri-Italic" w:hAnsi="Garamond" w:cs="Times New Roman"/>
          <w:szCs w:val="24"/>
          <w:lang w:val="en-GB"/>
        </w:rPr>
        <w:t xml:space="preserve"> position is consistent with a growing body of case law within the Council of Europe’s Member States. Indeed, the Supreme Court of the Netherlands </w:t>
      </w:r>
      <w:r w:rsidRPr="008F3A1A">
        <w:rPr>
          <w:rFonts w:ascii="Garamond" w:hAnsi="Garamond" w:cs="Times New Roman"/>
          <w:szCs w:val="24"/>
          <w:lang w:val="en-GB"/>
        </w:rPr>
        <w:t xml:space="preserve">in </w:t>
      </w:r>
      <w:r w:rsidRPr="008F3A1A">
        <w:rPr>
          <w:rFonts w:ascii="Garamond" w:hAnsi="Garamond" w:cs="Times New Roman"/>
          <w:i/>
          <w:iCs/>
          <w:szCs w:val="24"/>
          <w:lang w:val="en-GB"/>
        </w:rPr>
        <w:t xml:space="preserve">Urgenda Foundation v the Netherlands </w:t>
      </w:r>
      <w:r w:rsidRPr="008F3A1A">
        <w:rPr>
          <w:rFonts w:ascii="Garamond" w:hAnsi="Garamond" w:cs="Times New Roman"/>
          <w:iCs/>
          <w:szCs w:val="24"/>
          <w:lang w:val="en-GB"/>
        </w:rPr>
        <w:t xml:space="preserve">noted </w:t>
      </w:r>
      <w:r w:rsidRPr="008F3A1A">
        <w:rPr>
          <w:rFonts w:ascii="Garamond" w:hAnsi="Garamond" w:cs="Times New Roman"/>
          <w:szCs w:val="24"/>
          <w:lang w:val="en-GB"/>
        </w:rPr>
        <w:t>that “</w:t>
      </w:r>
      <w:r w:rsidRPr="008F3A1A">
        <w:rPr>
          <w:rFonts w:ascii="Garamond" w:hAnsi="Garamond" w:cs="Times New Roman"/>
          <w:i/>
          <w:iCs/>
          <w:szCs w:val="24"/>
          <w:lang w:val="en-GB"/>
        </w:rPr>
        <w:t>the defence that a state does not have to take responsibility because other countries do not comply with their partial responsibility, cannot be accepted</w:t>
      </w:r>
      <w:r w:rsidRPr="008F3A1A">
        <w:rPr>
          <w:rFonts w:ascii="Garamond" w:hAnsi="Garamond" w:cs="Times New Roman"/>
          <w:szCs w:val="24"/>
          <w:lang w:val="en-GB"/>
        </w:rPr>
        <w:t>”.</w:t>
      </w:r>
      <w:r w:rsidRPr="008F3A1A">
        <w:rPr>
          <w:rStyle w:val="Appelnotedebasdep"/>
          <w:rFonts w:ascii="Garamond" w:hAnsi="Garamond"/>
          <w:szCs w:val="24"/>
          <w:lang w:val="en-GB"/>
        </w:rPr>
        <w:footnoteReference w:id="99"/>
      </w:r>
      <w:r w:rsidRPr="008F3A1A">
        <w:rPr>
          <w:rFonts w:ascii="Garamond" w:hAnsi="Garamond" w:cs="Times New Roman"/>
          <w:szCs w:val="24"/>
          <w:lang w:val="en-GB"/>
        </w:rPr>
        <w:t xml:space="preserve"> The Court of First Instance of Brussels,</w:t>
      </w:r>
      <w:r w:rsidRPr="008F3A1A">
        <w:rPr>
          <w:rStyle w:val="Appelnotedebasdep"/>
          <w:rFonts w:ascii="Garamond" w:hAnsi="Garamond"/>
          <w:szCs w:val="24"/>
          <w:lang w:val="en-GB"/>
        </w:rPr>
        <w:footnoteReference w:id="100"/>
      </w:r>
      <w:r w:rsidRPr="008F3A1A">
        <w:rPr>
          <w:rFonts w:ascii="Garamond" w:hAnsi="Garamond" w:cs="Times New Roman"/>
          <w:szCs w:val="24"/>
          <w:lang w:val="en-GB"/>
        </w:rPr>
        <w:t xml:space="preserve"> as well as the Federal Constitutional Court of Germany developed similar </w:t>
      </w:r>
      <w:r w:rsidRPr="008F3A1A">
        <w:rPr>
          <w:rFonts w:ascii="Garamond" w:hAnsi="Garamond" w:cs="Times New Roman"/>
          <w:szCs w:val="24"/>
          <w:lang w:val="en-GB"/>
        </w:rPr>
        <w:lastRenderedPageBreak/>
        <w:t>reasonings.</w:t>
      </w:r>
      <w:r w:rsidRPr="008F3A1A">
        <w:rPr>
          <w:rStyle w:val="Appelnotedebasdep"/>
          <w:rFonts w:ascii="Garamond" w:hAnsi="Garamond"/>
          <w:szCs w:val="24"/>
          <w:lang w:val="en-GB"/>
        </w:rPr>
        <w:footnoteReference w:id="101"/>
      </w:r>
      <w:r w:rsidRPr="008F3A1A">
        <w:rPr>
          <w:rFonts w:ascii="Garamond" w:hAnsi="Garamond" w:cs="Times New Roman"/>
          <w:szCs w:val="24"/>
          <w:lang w:val="en-GB"/>
        </w:rPr>
        <w:t xml:space="preserve"> Reliance on “</w:t>
      </w:r>
      <w:r w:rsidRPr="008F3A1A">
        <w:rPr>
          <w:rFonts w:ascii="Garamond" w:hAnsi="Garamond" w:cs="Times New Roman"/>
          <w:i/>
          <w:iCs/>
          <w:szCs w:val="24"/>
          <w:lang w:val="en-GB"/>
        </w:rPr>
        <w:t xml:space="preserve">but for” </w:t>
      </w:r>
      <w:r w:rsidRPr="008F3A1A">
        <w:rPr>
          <w:rFonts w:ascii="Garamond" w:hAnsi="Garamond" w:cs="Times New Roman"/>
          <w:szCs w:val="24"/>
          <w:lang w:val="en-GB"/>
        </w:rPr>
        <w:t xml:space="preserve">causation cannot be used to absolve each </w:t>
      </w:r>
      <w:r w:rsidRPr="008F3A1A">
        <w:rPr>
          <w:rFonts w:ascii="Garamond" w:hAnsi="Garamond"/>
          <w:szCs w:val="24"/>
          <w:lang w:val="en-GB"/>
        </w:rPr>
        <w:t>Respondent State of its share of responsibility regarding climate change mitigation</w:t>
      </w:r>
      <w:r w:rsidRPr="008F3A1A">
        <w:rPr>
          <w:rFonts w:ascii="Garamond" w:hAnsi="Garamond" w:cs="Times New Roman"/>
          <w:szCs w:val="24"/>
          <w:lang w:val="en-GB"/>
        </w:rPr>
        <w:t xml:space="preserve"> in relation to energy transition.</w:t>
      </w:r>
    </w:p>
    <w:p w14:paraId="0BC4FAB2" w14:textId="77777777" w:rsidR="008D4DEB" w:rsidRPr="003D0D5B" w:rsidRDefault="008D4DEB">
      <w:pPr>
        <w:pStyle w:val="Paragraphedeliste"/>
        <w:numPr>
          <w:ilvl w:val="0"/>
          <w:numId w:val="8"/>
        </w:numPr>
        <w:spacing w:beforeLines="60" w:before="144" w:afterLines="60" w:after="144" w:line="360" w:lineRule="auto"/>
        <w:ind w:left="567" w:hanging="567"/>
        <w:contextualSpacing w:val="0"/>
        <w:jc w:val="both"/>
        <w:rPr>
          <w:rFonts w:ascii="Garamond" w:hAnsi="Garamond" w:cs="Times New Roman"/>
          <w:szCs w:val="24"/>
          <w:lang w:val="en-GB"/>
        </w:rPr>
      </w:pPr>
      <w:r w:rsidRPr="008F3A1A">
        <w:rPr>
          <w:rFonts w:ascii="Garamond" w:hAnsi="Garamond" w:cs="Times New Roman"/>
          <w:b/>
          <w:bCs/>
          <w:iCs/>
          <w:szCs w:val="24"/>
          <w:lang w:val="en-GB"/>
        </w:rPr>
        <w:t>Fourth</w:t>
      </w:r>
      <w:r w:rsidRPr="008F3A1A">
        <w:rPr>
          <w:rFonts w:ascii="Garamond" w:hAnsi="Garamond" w:cs="Times New Roman"/>
          <w:szCs w:val="24"/>
          <w:lang w:val="en-GB"/>
        </w:rPr>
        <w:t xml:space="preserve">, that there is a general public interest in mitigating climate change, and that the entirety of the world population will be impacted by the effects of climate change does not prevent the Applicant from being </w:t>
      </w:r>
      <w:r>
        <w:rPr>
          <w:rFonts w:ascii="Garamond" w:hAnsi="Garamond" w:cs="Times New Roman"/>
          <w:szCs w:val="24"/>
          <w:lang w:val="en-GB"/>
        </w:rPr>
        <w:t xml:space="preserve">a </w:t>
      </w:r>
      <w:r w:rsidRPr="008F3A1A">
        <w:rPr>
          <w:rFonts w:ascii="Garamond" w:hAnsi="Garamond" w:cs="Times New Roman"/>
          <w:szCs w:val="24"/>
          <w:lang w:val="en-GB"/>
        </w:rPr>
        <w:t>victim</w:t>
      </w:r>
      <w:r>
        <w:rPr>
          <w:rFonts w:ascii="Garamond" w:hAnsi="Garamond" w:cs="Times New Roman"/>
          <w:szCs w:val="24"/>
          <w:lang w:val="en-GB"/>
        </w:rPr>
        <w:t xml:space="preserve"> </w:t>
      </w:r>
      <w:r w:rsidRPr="008F3A1A">
        <w:rPr>
          <w:rFonts w:ascii="Garamond" w:hAnsi="Garamond" w:cs="Times New Roman"/>
          <w:szCs w:val="24"/>
          <w:lang w:val="en-GB"/>
        </w:rPr>
        <w:t>under the Convention.</w:t>
      </w:r>
      <w:r w:rsidRPr="008F3A1A">
        <w:rPr>
          <w:rStyle w:val="Appelnotedebasdep"/>
          <w:rFonts w:ascii="Garamond" w:hAnsi="Garamond"/>
          <w:szCs w:val="24"/>
          <w:lang w:val="en-GB"/>
        </w:rPr>
        <w:footnoteReference w:id="102"/>
      </w:r>
      <w:r w:rsidRPr="008F3A1A">
        <w:rPr>
          <w:rFonts w:ascii="Garamond" w:hAnsi="Garamond" w:cs="Times New Roman"/>
          <w:szCs w:val="24"/>
          <w:lang w:val="en-GB"/>
        </w:rPr>
        <w:t xml:space="preserve"> In an environmental context, victim status was recognised for applicants which had suffered from pollution of an entire river over more than 800km,</w:t>
      </w:r>
      <w:r w:rsidRPr="008F3A1A">
        <w:rPr>
          <w:rStyle w:val="Appelnotedebasdep"/>
          <w:rFonts w:ascii="Garamond" w:hAnsi="Garamond"/>
          <w:szCs w:val="24"/>
          <w:lang w:val="en-GB"/>
        </w:rPr>
        <w:footnoteReference w:id="103"/>
      </w:r>
      <w:r w:rsidRPr="008F3A1A">
        <w:rPr>
          <w:rFonts w:ascii="Garamond" w:hAnsi="Garamond" w:cs="Times New Roman"/>
          <w:szCs w:val="24"/>
          <w:lang w:val="en-GB"/>
        </w:rPr>
        <w:t xml:space="preserve"> as well as for applicants suffering from toxic fumes </w:t>
      </w:r>
      <w:r w:rsidRPr="003D0D5B">
        <w:rPr>
          <w:rFonts w:ascii="Garamond" w:hAnsi="Garamond" w:cs="Times New Roman"/>
          <w:szCs w:val="24"/>
          <w:lang w:val="en-GB"/>
        </w:rPr>
        <w:t>from a factory which polluted more than one town.</w:t>
      </w:r>
      <w:r w:rsidRPr="003D0D5B">
        <w:rPr>
          <w:rStyle w:val="Appelnotedebasdep"/>
          <w:rFonts w:ascii="Garamond" w:hAnsi="Garamond"/>
          <w:szCs w:val="24"/>
          <w:lang w:val="en-GB"/>
        </w:rPr>
        <w:footnoteReference w:id="104"/>
      </w:r>
    </w:p>
    <w:p w14:paraId="1ED24027" w14:textId="77777777" w:rsidR="008D4DEB" w:rsidRPr="003D0D5B" w:rsidRDefault="008D4DEB">
      <w:pPr>
        <w:pStyle w:val="Paragraphedeliste"/>
        <w:numPr>
          <w:ilvl w:val="0"/>
          <w:numId w:val="8"/>
        </w:numPr>
        <w:spacing w:beforeLines="60" w:before="144" w:afterLines="60" w:after="144" w:line="360" w:lineRule="auto"/>
        <w:ind w:left="567" w:hanging="567"/>
        <w:contextualSpacing w:val="0"/>
        <w:jc w:val="both"/>
        <w:rPr>
          <w:rFonts w:ascii="Garamond" w:hAnsi="Garamond" w:cs="Times New Roman"/>
          <w:szCs w:val="24"/>
          <w:lang w:val="en-GB"/>
        </w:rPr>
      </w:pPr>
      <w:r w:rsidRPr="003D0D5B">
        <w:rPr>
          <w:rFonts w:ascii="Garamond" w:hAnsi="Garamond" w:cs="Times New Roman"/>
          <w:szCs w:val="24"/>
          <w:lang w:val="en-GB"/>
        </w:rPr>
        <w:t xml:space="preserve">The Applicant has provided evidence that </w:t>
      </w:r>
      <w:r w:rsidRPr="003D0D5B">
        <w:rPr>
          <w:rFonts w:ascii="Garamond" w:hAnsi="Garamond" w:cs="Times New Roman"/>
          <w:iCs/>
          <w:szCs w:val="24"/>
          <w:lang w:val="en-GB"/>
        </w:rPr>
        <w:t xml:space="preserve">[he/she] </w:t>
      </w:r>
      <w:r w:rsidRPr="003D0D5B">
        <w:rPr>
          <w:rFonts w:ascii="Garamond" w:hAnsi="Garamond" w:cs="Times New Roman"/>
          <w:szCs w:val="24"/>
          <w:lang w:val="en-GB"/>
        </w:rPr>
        <w:t xml:space="preserve">is an actual and potential victim under Article 34. Accordingly, the Application is not an </w:t>
      </w:r>
      <w:r w:rsidRPr="003D0D5B">
        <w:rPr>
          <w:rFonts w:ascii="Garamond" w:hAnsi="Garamond" w:cs="Times New Roman"/>
          <w:i/>
          <w:szCs w:val="24"/>
          <w:lang w:val="en-GB"/>
        </w:rPr>
        <w:t>actio popularis</w:t>
      </w:r>
      <w:r w:rsidRPr="003D0D5B">
        <w:rPr>
          <w:rFonts w:ascii="Garamond" w:hAnsi="Garamond" w:cs="Times New Roman"/>
          <w:szCs w:val="24"/>
          <w:lang w:val="en-GB"/>
        </w:rPr>
        <w:t xml:space="preserve"> or </w:t>
      </w:r>
      <w:r w:rsidRPr="003D0D5B">
        <w:rPr>
          <w:rFonts w:ascii="Garamond" w:hAnsi="Garamond" w:cs="Times New Roman"/>
          <w:i/>
          <w:iCs/>
          <w:szCs w:val="24"/>
          <w:lang w:val="en-GB"/>
        </w:rPr>
        <w:t xml:space="preserve">in abstracto </w:t>
      </w:r>
      <w:r w:rsidRPr="003D0D5B">
        <w:rPr>
          <w:rFonts w:ascii="Garamond" w:hAnsi="Garamond" w:cs="Times New Roman"/>
          <w:szCs w:val="24"/>
          <w:lang w:val="en-GB"/>
        </w:rPr>
        <w:t>complaint. An application does not fall foul of these rules simply because the Court’s judgment may have wider implications beneficial to society as a whole.</w:t>
      </w:r>
      <w:r w:rsidRPr="003D0D5B">
        <w:rPr>
          <w:rStyle w:val="Appelnotedebasdep"/>
          <w:rFonts w:ascii="Garamond" w:hAnsi="Garamond" w:cs="Times New Roman"/>
          <w:szCs w:val="24"/>
          <w:lang w:val="en-GB"/>
        </w:rPr>
        <w:footnoteReference w:id="105"/>
      </w:r>
    </w:p>
    <w:p w14:paraId="02F3E892" w14:textId="77777777" w:rsidR="008D4DEB" w:rsidRPr="003D0D5B" w:rsidRDefault="008D4DEB">
      <w:pPr>
        <w:pStyle w:val="Paragraphedeliste"/>
        <w:numPr>
          <w:ilvl w:val="0"/>
          <w:numId w:val="8"/>
        </w:numPr>
        <w:spacing w:beforeLines="60" w:before="144" w:afterLines="60" w:after="144" w:line="360" w:lineRule="auto"/>
        <w:ind w:left="567" w:hanging="567"/>
        <w:contextualSpacing w:val="0"/>
        <w:jc w:val="both"/>
        <w:rPr>
          <w:rFonts w:ascii="Garamond" w:hAnsi="Garamond"/>
          <w:szCs w:val="24"/>
          <w:lang w:val="en-GB"/>
        </w:rPr>
      </w:pPr>
      <w:r w:rsidRPr="003D0D5B">
        <w:rPr>
          <w:rFonts w:ascii="Garamond" w:hAnsi="Garamond" w:cs="Times New Roman"/>
          <w:szCs w:val="24"/>
          <w:lang w:val="en-GB"/>
        </w:rPr>
        <w:t xml:space="preserve">In any event, in circumstances </w:t>
      </w:r>
      <w:r w:rsidRPr="003D0D5B">
        <w:rPr>
          <w:rFonts w:ascii="Garamond" w:hAnsi="Garamond" w:cs="Times New Roman"/>
          <w:color w:val="000000"/>
          <w:szCs w:val="24"/>
          <w:lang w:val="en-GB"/>
        </w:rPr>
        <w:t>where victim status is closely linked to the merits of an application, as in the current case, the Court has considered that issues pertaining to victim status should be joined to an examination on the merits.</w:t>
      </w:r>
      <w:r w:rsidRPr="003D0D5B">
        <w:rPr>
          <w:rStyle w:val="Appelnotedebasdep"/>
          <w:rFonts w:ascii="Garamond" w:hAnsi="Garamond" w:cs="Times New Roman"/>
          <w:color w:val="000000"/>
          <w:szCs w:val="24"/>
          <w:lang w:val="en-GB"/>
        </w:rPr>
        <w:footnoteReference w:id="106"/>
      </w:r>
    </w:p>
    <w:p w14:paraId="622DD8B1" w14:textId="77777777" w:rsidR="008D4DEB" w:rsidRPr="003D0D5B" w:rsidRDefault="008D4DEB">
      <w:pPr>
        <w:pStyle w:val="Titre2"/>
        <w:numPr>
          <w:ilvl w:val="0"/>
          <w:numId w:val="9"/>
        </w:numPr>
        <w:ind w:left="567" w:hanging="567"/>
      </w:pPr>
      <w:r w:rsidRPr="003D0D5B">
        <w:t>Articles 2 and 8 ECHR</w:t>
      </w:r>
    </w:p>
    <w:p w14:paraId="13DEEC3A" w14:textId="77777777" w:rsidR="008D4DEB" w:rsidRPr="008F3A1A" w:rsidRDefault="008D4DEB">
      <w:pPr>
        <w:pStyle w:val="Paragraphedeliste"/>
        <w:numPr>
          <w:ilvl w:val="0"/>
          <w:numId w:val="8"/>
        </w:numPr>
        <w:spacing w:beforeLines="60" w:before="144" w:afterLines="60" w:after="144" w:line="360" w:lineRule="auto"/>
        <w:ind w:left="567" w:hanging="567"/>
        <w:contextualSpacing w:val="0"/>
        <w:jc w:val="both"/>
        <w:rPr>
          <w:rFonts w:ascii="Garamond" w:eastAsia="Calibri" w:hAnsi="Garamond" w:cs="Times New Roman"/>
          <w:szCs w:val="24"/>
          <w:lang w:val="en-GB"/>
        </w:rPr>
      </w:pPr>
      <w:r w:rsidRPr="008F3A1A">
        <w:rPr>
          <w:rFonts w:ascii="Garamond" w:eastAsia="Calibri" w:hAnsi="Garamond" w:cs="Times New Roman"/>
          <w:szCs w:val="24"/>
          <w:lang w:val="en-GB"/>
        </w:rPr>
        <w:t xml:space="preserve">First, it is well-established that the Convention is to be applied in light of its object and purpose. As the Court stated in </w:t>
      </w:r>
      <w:r w:rsidRPr="008F3A1A">
        <w:rPr>
          <w:rFonts w:ascii="Garamond" w:eastAsia="Calibri" w:hAnsi="Garamond" w:cs="Times New Roman"/>
          <w:i/>
          <w:szCs w:val="24"/>
          <w:lang w:val="en-GB"/>
        </w:rPr>
        <w:t>Wemhoff v Germany</w:t>
      </w:r>
      <w:r w:rsidRPr="008F3A1A">
        <w:rPr>
          <w:rFonts w:ascii="Garamond" w:eastAsia="Calibri" w:hAnsi="Garamond" w:cs="Times New Roman"/>
          <w:szCs w:val="24"/>
          <w:lang w:val="en-GB"/>
        </w:rPr>
        <w:t>, “</w:t>
      </w:r>
      <w:r w:rsidRPr="008F3A1A">
        <w:rPr>
          <w:rFonts w:ascii="Garamond" w:eastAsia="Calibri" w:hAnsi="Garamond" w:cs="Times New Roman"/>
          <w:i/>
          <w:szCs w:val="24"/>
          <w:lang w:val="en-GB"/>
        </w:rPr>
        <w:t>given that it is a law-making treaty, it is also necessary to seek the interpretation that is most appropriate in order to realise the aim and achieve the object of the treaty, and not that which would restrict to the greatest possible degree the obligations undertaken by the Parties</w:t>
      </w:r>
      <w:r w:rsidRPr="008F3A1A">
        <w:rPr>
          <w:rFonts w:ascii="Garamond" w:eastAsia="Calibri" w:hAnsi="Garamond" w:cs="Times New Roman"/>
          <w:szCs w:val="24"/>
          <w:lang w:val="en-GB"/>
        </w:rPr>
        <w:t>”.</w:t>
      </w:r>
      <w:r w:rsidRPr="008F3A1A">
        <w:rPr>
          <w:rStyle w:val="Appelnotedebasdep"/>
          <w:rFonts w:ascii="Garamond" w:eastAsia="Calibri" w:hAnsi="Garamond" w:cs="Times New Roman"/>
          <w:szCs w:val="24"/>
          <w:lang w:val="en-GB"/>
        </w:rPr>
        <w:footnoteReference w:id="107"/>
      </w:r>
    </w:p>
    <w:p w14:paraId="6A192317" w14:textId="77777777" w:rsidR="008D4DEB" w:rsidRPr="008F3A1A" w:rsidRDefault="008D4DEB">
      <w:pPr>
        <w:pStyle w:val="Paragraphedeliste"/>
        <w:numPr>
          <w:ilvl w:val="0"/>
          <w:numId w:val="8"/>
        </w:numPr>
        <w:spacing w:beforeLines="60" w:before="144" w:afterLines="60" w:after="144" w:line="360" w:lineRule="auto"/>
        <w:ind w:left="567" w:hanging="567"/>
        <w:contextualSpacing w:val="0"/>
        <w:jc w:val="both"/>
        <w:rPr>
          <w:rFonts w:ascii="Garamond" w:eastAsia="Calibri" w:hAnsi="Garamond" w:cs="Times New Roman"/>
          <w:szCs w:val="24"/>
          <w:lang w:val="en-GB"/>
        </w:rPr>
      </w:pPr>
      <w:r w:rsidRPr="008F3A1A">
        <w:rPr>
          <w:rFonts w:ascii="Garamond" w:hAnsi="Garamond"/>
          <w:szCs w:val="24"/>
          <w:lang w:val="en-GB"/>
        </w:rPr>
        <w:t>The</w:t>
      </w:r>
      <w:r>
        <w:rPr>
          <w:rFonts w:ascii="Garamond" w:hAnsi="Garamond"/>
          <w:szCs w:val="24"/>
          <w:lang w:val="en-GB"/>
        </w:rPr>
        <w:t>se</w:t>
      </w:r>
      <w:r w:rsidRPr="008F3A1A">
        <w:rPr>
          <w:rFonts w:ascii="Garamond" w:hAnsi="Garamond"/>
          <w:szCs w:val="24"/>
          <w:lang w:val="en-GB"/>
        </w:rPr>
        <w:t xml:space="preserve"> </w:t>
      </w:r>
      <w:r w:rsidRPr="004E104E">
        <w:rPr>
          <w:rFonts w:ascii="Garamond" w:hAnsi="Garamond"/>
          <w:szCs w:val="24"/>
          <w:lang w:val="en-GB"/>
        </w:rPr>
        <w:t>Articles</w:t>
      </w:r>
      <w:r w:rsidRPr="008F3A1A">
        <w:rPr>
          <w:rFonts w:ascii="Garamond" w:hAnsi="Garamond"/>
          <w:szCs w:val="24"/>
          <w:lang w:val="en-GB"/>
        </w:rPr>
        <w:t xml:space="preserve"> must be interpreted in accordance with the principle that the Convention must guarantee rights that are </w:t>
      </w:r>
      <w:r w:rsidRPr="008F3A1A">
        <w:rPr>
          <w:rFonts w:ascii="Garamond" w:hAnsi="Garamond"/>
          <w:i/>
          <w:iCs/>
          <w:szCs w:val="24"/>
          <w:lang w:val="en-GB"/>
        </w:rPr>
        <w:t>“practical and effective”</w:t>
      </w:r>
      <w:r w:rsidRPr="008F3A1A">
        <w:rPr>
          <w:rFonts w:ascii="Garamond" w:hAnsi="Garamond"/>
          <w:szCs w:val="24"/>
          <w:lang w:val="en-GB"/>
        </w:rPr>
        <w:t xml:space="preserve"> rather than </w:t>
      </w:r>
      <w:r w:rsidRPr="008F3A1A">
        <w:rPr>
          <w:rFonts w:ascii="Garamond" w:hAnsi="Garamond"/>
          <w:i/>
          <w:iCs/>
          <w:szCs w:val="24"/>
          <w:lang w:val="en-GB"/>
        </w:rPr>
        <w:t>“theoretical and illusory”</w:t>
      </w:r>
      <w:r w:rsidRPr="008F3A1A">
        <w:rPr>
          <w:rFonts w:ascii="Garamond" w:hAnsi="Garamond"/>
          <w:szCs w:val="24"/>
          <w:lang w:val="en-GB"/>
        </w:rPr>
        <w:t>.</w:t>
      </w:r>
      <w:r w:rsidRPr="008F3A1A">
        <w:rPr>
          <w:rStyle w:val="Appelnotedebasdep"/>
          <w:rFonts w:ascii="Garamond" w:hAnsi="Garamond"/>
          <w:szCs w:val="24"/>
          <w:lang w:val="en-GB"/>
        </w:rPr>
        <w:footnoteReference w:id="108"/>
      </w:r>
    </w:p>
    <w:p w14:paraId="61642822" w14:textId="77777777" w:rsidR="008D4DEB" w:rsidRPr="008F3A1A" w:rsidRDefault="008D4DEB">
      <w:pPr>
        <w:pStyle w:val="Paragraphedeliste"/>
        <w:numPr>
          <w:ilvl w:val="0"/>
          <w:numId w:val="8"/>
        </w:numPr>
        <w:spacing w:beforeLines="60" w:before="144" w:afterLines="60" w:after="144" w:line="360" w:lineRule="auto"/>
        <w:ind w:left="567" w:hanging="567"/>
        <w:contextualSpacing w:val="0"/>
        <w:jc w:val="both"/>
        <w:rPr>
          <w:rFonts w:ascii="Garamond" w:hAnsi="Garamond"/>
          <w:lang w:val="en-GB"/>
        </w:rPr>
      </w:pPr>
      <w:r w:rsidRPr="008F3A1A">
        <w:rPr>
          <w:rFonts w:ascii="Garamond" w:eastAsia="Calibri" w:hAnsi="Garamond" w:cs="Times New Roman"/>
          <w:szCs w:val="24"/>
          <w:lang w:val="en-GB"/>
        </w:rPr>
        <w:lastRenderedPageBreak/>
        <w:t xml:space="preserve">When interpreting and applying the Convention, the Court </w:t>
      </w:r>
      <w:r w:rsidRPr="008F3A1A">
        <w:rPr>
          <w:rFonts w:ascii="Garamond" w:eastAsia="Calibri" w:hAnsi="Garamond" w:cs="Times New Roman"/>
          <w:i/>
          <w:szCs w:val="24"/>
          <w:lang w:val="en-GB"/>
        </w:rPr>
        <w:t xml:space="preserve">“must take into account </w:t>
      </w:r>
      <w:r w:rsidRPr="008F3A1A">
        <w:rPr>
          <w:rFonts w:ascii="Garamond" w:hAnsi="Garamond"/>
          <w:i/>
          <w:lang w:val="en-GB"/>
        </w:rPr>
        <w:t xml:space="preserve"> </w:t>
      </w:r>
      <w:r w:rsidRPr="008F3A1A">
        <w:rPr>
          <w:rFonts w:ascii="Garamond" w:eastAsia="Calibri" w:hAnsi="Garamond" w:cs="Times New Roman"/>
          <w:i/>
          <w:szCs w:val="24"/>
          <w:lang w:val="en-GB"/>
        </w:rPr>
        <w:t>elements of international law other than the Convention, the interpretation of such elements by competent organs and the practice of European States reflecting their common values”</w:t>
      </w:r>
      <w:r w:rsidRPr="008F3A1A">
        <w:rPr>
          <w:rFonts w:ascii="Garamond" w:eastAsia="Calibri" w:hAnsi="Garamond" w:cs="Times New Roman"/>
          <w:szCs w:val="24"/>
          <w:lang w:val="en-GB"/>
        </w:rPr>
        <w:t>.</w:t>
      </w:r>
      <w:r w:rsidRPr="008F3A1A">
        <w:rPr>
          <w:rStyle w:val="Appelnotedebasdep"/>
          <w:rFonts w:ascii="Garamond" w:eastAsia="Calibri" w:hAnsi="Garamond" w:cs="Times New Roman"/>
          <w:szCs w:val="24"/>
          <w:lang w:val="en-GB"/>
        </w:rPr>
        <w:footnoteReference w:id="109"/>
      </w:r>
      <w:r w:rsidRPr="008F3A1A">
        <w:rPr>
          <w:rFonts w:ascii="Garamond" w:eastAsia="Calibri" w:hAnsi="Garamond" w:cs="Times New Roman"/>
          <w:szCs w:val="24"/>
          <w:lang w:val="en-GB"/>
        </w:rPr>
        <w:t xml:space="preserve"> </w:t>
      </w:r>
      <w:r w:rsidRPr="008F3A1A">
        <w:rPr>
          <w:rFonts w:ascii="Garamond" w:hAnsi="Garamond"/>
          <w:szCs w:val="24"/>
          <w:lang w:val="en-GB"/>
        </w:rPr>
        <w:t>That said, States cannot dilute the effectiveness of Convention rights through their commitments in separate treaties.</w:t>
      </w:r>
      <w:r w:rsidRPr="008F3A1A">
        <w:rPr>
          <w:rStyle w:val="Appelnotedebasdep"/>
          <w:rFonts w:ascii="Garamond" w:hAnsi="Garamond"/>
          <w:szCs w:val="24"/>
          <w:lang w:val="en-GB"/>
        </w:rPr>
        <w:footnoteReference w:id="110"/>
      </w:r>
      <w:r w:rsidRPr="008F3A1A">
        <w:rPr>
          <w:rFonts w:ascii="Garamond" w:hAnsi="Garamond"/>
          <w:szCs w:val="24"/>
          <w:lang w:val="en-GB"/>
        </w:rPr>
        <w:t xml:space="preserve"> It was thus observed by the Commission in </w:t>
      </w:r>
      <w:r w:rsidRPr="008F3A1A">
        <w:rPr>
          <w:rFonts w:ascii="Garamond" w:hAnsi="Garamond"/>
          <w:i/>
          <w:iCs/>
          <w:szCs w:val="24"/>
          <w:lang w:val="en-GB"/>
        </w:rPr>
        <w:t xml:space="preserve">X. v Federal Republic of Germany </w:t>
      </w:r>
      <w:r>
        <w:rPr>
          <w:rFonts w:ascii="Garamond" w:hAnsi="Garamond"/>
          <w:szCs w:val="24"/>
          <w:lang w:val="en-GB"/>
        </w:rPr>
        <w:t>(a</w:t>
      </w:r>
      <w:r w:rsidRPr="008F3A1A">
        <w:rPr>
          <w:rFonts w:ascii="Garamond" w:hAnsi="Garamond"/>
          <w:szCs w:val="24"/>
          <w:lang w:val="en-GB"/>
        </w:rPr>
        <w:t>pp</w:t>
      </w:r>
      <w:r>
        <w:rPr>
          <w:rFonts w:ascii="Garamond" w:hAnsi="Garamond"/>
          <w:szCs w:val="24"/>
          <w:lang w:val="en-GB"/>
        </w:rPr>
        <w:t>.</w:t>
      </w:r>
      <w:r w:rsidRPr="008F3A1A">
        <w:rPr>
          <w:rFonts w:ascii="Garamond" w:hAnsi="Garamond"/>
          <w:szCs w:val="24"/>
          <w:lang w:val="en-GB"/>
        </w:rPr>
        <w:t xml:space="preserve"> no</w:t>
      </w:r>
      <w:r>
        <w:rPr>
          <w:rFonts w:ascii="Garamond" w:hAnsi="Garamond"/>
          <w:szCs w:val="24"/>
          <w:lang w:val="en-GB"/>
        </w:rPr>
        <w:t>.</w:t>
      </w:r>
      <w:r w:rsidRPr="008F3A1A">
        <w:rPr>
          <w:rFonts w:ascii="Garamond" w:hAnsi="Garamond"/>
          <w:szCs w:val="24"/>
          <w:lang w:val="en-GB"/>
        </w:rPr>
        <w:t xml:space="preserve"> 235/56, 10 June 1958): </w:t>
      </w:r>
      <w:r w:rsidRPr="008F3A1A">
        <w:rPr>
          <w:rFonts w:ascii="Garamond" w:eastAsia="TimesNewRomanPS-ItalicMT" w:hAnsi="Garamond"/>
          <w:i/>
          <w:iCs/>
          <w:szCs w:val="24"/>
          <w:lang w:val="en-GB"/>
        </w:rPr>
        <w:t>“</w:t>
      </w:r>
      <w:r w:rsidRPr="008F3A1A">
        <w:rPr>
          <w:rFonts w:ascii="Garamond" w:hAnsi="Garamond"/>
          <w:i/>
          <w:iCs/>
          <w:szCs w:val="24"/>
          <w:lang w:val="en-GB"/>
        </w:rPr>
        <w:t xml:space="preserve">If a State contracts treaty obligations and subsequently concludes another international agreement which disables it from performing its obligations under the first treaty, it will be </w:t>
      </w:r>
      <w:r w:rsidRPr="008F3A1A">
        <w:rPr>
          <w:rFonts w:ascii="Garamond" w:eastAsia="TimesNewRomanPSMT" w:hAnsi="Garamond"/>
          <w:i/>
          <w:iCs/>
          <w:szCs w:val="24"/>
          <w:lang w:val="en-GB"/>
        </w:rPr>
        <w:t>answerable for any breach of its obligations under the treaty”</w:t>
      </w:r>
      <w:r w:rsidRPr="008F3A1A">
        <w:rPr>
          <w:rFonts w:ascii="Garamond" w:hAnsi="Garamond"/>
          <w:i/>
          <w:iCs/>
          <w:szCs w:val="24"/>
          <w:lang w:val="en-GB"/>
        </w:rPr>
        <w:t xml:space="preserve">. </w:t>
      </w:r>
    </w:p>
    <w:p w14:paraId="5A648714" w14:textId="77777777" w:rsidR="008D4DEB" w:rsidRPr="008D4DEB" w:rsidRDefault="008D4DEB" w:rsidP="008D4DEB">
      <w:pPr>
        <w:pStyle w:val="Titre4"/>
        <w:spacing w:line="360" w:lineRule="auto"/>
        <w:rPr>
          <w:rFonts w:ascii="Garamond" w:hAnsi="Garamond"/>
          <w:color w:val="002060"/>
          <w:lang w:val="en-US"/>
        </w:rPr>
      </w:pPr>
      <w:r w:rsidRPr="008D4DEB">
        <w:rPr>
          <w:rFonts w:ascii="Garamond" w:hAnsi="Garamond"/>
          <w:color w:val="002060"/>
          <w:lang w:val="en-US"/>
        </w:rPr>
        <w:t xml:space="preserve">Applicability of Articles 2 and 8 in the context of climate change </w:t>
      </w:r>
    </w:p>
    <w:p w14:paraId="5D9EE53A" w14:textId="77777777" w:rsidR="008D4DEB" w:rsidRPr="008F3A1A" w:rsidRDefault="008D4DEB">
      <w:pPr>
        <w:pStyle w:val="Paragraphedeliste"/>
        <w:numPr>
          <w:ilvl w:val="0"/>
          <w:numId w:val="8"/>
        </w:numPr>
        <w:spacing w:beforeLines="60" w:before="144" w:afterLines="60" w:after="144" w:line="360" w:lineRule="auto"/>
        <w:ind w:left="567" w:hanging="567"/>
        <w:contextualSpacing w:val="0"/>
        <w:jc w:val="both"/>
        <w:rPr>
          <w:rFonts w:ascii="Garamond" w:eastAsia="Calibri" w:hAnsi="Garamond" w:cs="Times New Roman"/>
          <w:szCs w:val="24"/>
          <w:lang w:val="en-GB"/>
        </w:rPr>
      </w:pPr>
      <w:r w:rsidRPr="008F3A1A">
        <w:rPr>
          <w:rFonts w:ascii="Garamond" w:eastAsia="Calibri" w:hAnsi="Garamond" w:cs="Times New Roman"/>
          <w:szCs w:val="24"/>
          <w:lang w:val="en-GB"/>
        </w:rPr>
        <w:t xml:space="preserve">Positive obligations </w:t>
      </w:r>
      <w:r>
        <w:rPr>
          <w:rFonts w:ascii="Garamond" w:eastAsia="Calibri" w:hAnsi="Garamond" w:cs="Times New Roman"/>
          <w:szCs w:val="24"/>
          <w:lang w:val="en-GB"/>
        </w:rPr>
        <w:t xml:space="preserve">under </w:t>
      </w:r>
      <w:r w:rsidRPr="008F3A1A">
        <w:rPr>
          <w:rFonts w:ascii="Garamond" w:eastAsia="Calibri" w:hAnsi="Garamond" w:cs="Times New Roman"/>
          <w:szCs w:val="24"/>
          <w:lang w:val="en-GB"/>
        </w:rPr>
        <w:t>Article 2 “</w:t>
      </w:r>
      <w:r w:rsidRPr="008F3A1A">
        <w:rPr>
          <w:rFonts w:ascii="Garamond" w:eastAsia="Calibri" w:hAnsi="Garamond" w:cs="Times New Roman"/>
          <w:i/>
          <w:iCs/>
          <w:szCs w:val="24"/>
          <w:lang w:val="en-GB"/>
        </w:rPr>
        <w:t>must be construed as applying in the context of any activity, whether public or not, in which the right to life may be at stake”</w:t>
      </w:r>
      <w:r w:rsidRPr="008F3A1A">
        <w:rPr>
          <w:rFonts w:ascii="Garamond" w:eastAsia="Calibri" w:hAnsi="Garamond" w:cs="Times New Roman"/>
          <w:szCs w:val="24"/>
          <w:lang w:val="en-GB"/>
        </w:rPr>
        <w:t>.</w:t>
      </w:r>
      <w:r w:rsidRPr="008F3A1A">
        <w:rPr>
          <w:rStyle w:val="Appelnotedebasdep"/>
          <w:rFonts w:ascii="Garamond" w:eastAsia="Calibri" w:hAnsi="Garamond" w:cs="Times New Roman"/>
          <w:szCs w:val="24"/>
          <w:lang w:val="en-GB"/>
        </w:rPr>
        <w:footnoteReference w:id="111"/>
      </w:r>
      <w:r w:rsidRPr="008F3A1A">
        <w:rPr>
          <w:rFonts w:ascii="Garamond" w:eastAsia="Calibri" w:hAnsi="Garamond" w:cs="Times New Roman"/>
          <w:szCs w:val="24"/>
          <w:lang w:val="en-GB"/>
        </w:rPr>
        <w:t xml:space="preserve"> Article 2 can be triggered in the absence of death or serious injury, and in relation to long-term risks.</w:t>
      </w:r>
      <w:r w:rsidRPr="008F3A1A">
        <w:rPr>
          <w:rStyle w:val="Appelnotedebasdep"/>
          <w:rFonts w:ascii="Garamond" w:eastAsia="Calibri" w:hAnsi="Garamond" w:cs="Times New Roman"/>
          <w:szCs w:val="24"/>
          <w:lang w:val="en-GB"/>
        </w:rPr>
        <w:footnoteReference w:id="112"/>
      </w:r>
      <w:r w:rsidRPr="008F3A1A">
        <w:rPr>
          <w:rFonts w:ascii="Garamond" w:eastAsia="Calibri" w:hAnsi="Garamond" w:cs="Times New Roman"/>
          <w:szCs w:val="24"/>
          <w:lang w:val="en-GB"/>
        </w:rPr>
        <w:t xml:space="preserve"> In the environmental context, there is no general requirement to demonstrate a real and immediate risk to the </w:t>
      </w:r>
      <w:r>
        <w:rPr>
          <w:rFonts w:ascii="Garamond" w:eastAsia="Calibri" w:hAnsi="Garamond" w:cs="Times New Roman"/>
          <w:szCs w:val="24"/>
          <w:lang w:val="en-GB"/>
        </w:rPr>
        <w:t>life</w:t>
      </w:r>
      <w:r w:rsidRPr="008F3A1A">
        <w:rPr>
          <w:rFonts w:ascii="Garamond" w:eastAsia="Calibri" w:hAnsi="Garamond" w:cs="Times New Roman"/>
          <w:szCs w:val="24"/>
          <w:lang w:val="en-GB"/>
        </w:rPr>
        <w:t xml:space="preserve"> of the Applicant.</w:t>
      </w:r>
    </w:p>
    <w:p w14:paraId="33CCCF8B" w14:textId="77777777" w:rsidR="008D4DEB" w:rsidRPr="008F3A1A" w:rsidRDefault="008D4DEB">
      <w:pPr>
        <w:pStyle w:val="Paragraphedeliste"/>
        <w:numPr>
          <w:ilvl w:val="0"/>
          <w:numId w:val="8"/>
        </w:numPr>
        <w:spacing w:beforeLines="60" w:before="144" w:afterLines="60" w:after="144" w:line="360" w:lineRule="auto"/>
        <w:ind w:left="567" w:hanging="567"/>
        <w:contextualSpacing w:val="0"/>
        <w:jc w:val="both"/>
        <w:rPr>
          <w:rFonts w:ascii="Garamond" w:eastAsia="Calibri" w:hAnsi="Garamond" w:cs="Times New Roman"/>
          <w:color w:val="70AD47" w:themeColor="accent6"/>
          <w:szCs w:val="24"/>
          <w:lang w:val="en-GB"/>
        </w:rPr>
      </w:pPr>
      <w:r w:rsidRPr="008F3A1A">
        <w:rPr>
          <w:rFonts w:ascii="Garamond" w:eastAsia="Calibri" w:hAnsi="Garamond" w:cs="Times New Roman"/>
          <w:szCs w:val="24"/>
          <w:lang w:val="en-GB"/>
        </w:rPr>
        <w:t>Article 8 will be applicable where an individual is directly and seriously affected by an environmental nuisance.</w:t>
      </w:r>
      <w:r w:rsidRPr="008F3A1A">
        <w:rPr>
          <w:rStyle w:val="Appelnotedebasdep"/>
          <w:rFonts w:ascii="Garamond" w:hAnsi="Garamond"/>
          <w:szCs w:val="24"/>
          <w:lang w:val="en-GB"/>
        </w:rPr>
        <w:footnoteReference w:id="113"/>
      </w:r>
      <w:r w:rsidRPr="008F3A1A">
        <w:rPr>
          <w:rFonts w:ascii="Garamond" w:eastAsia="Calibri" w:hAnsi="Garamond" w:cs="Times New Roman"/>
          <w:szCs w:val="24"/>
          <w:lang w:val="en-GB"/>
        </w:rPr>
        <w:t xml:space="preserve"> Article 8 has been applicable in cases in which the risk materialises in the long term.</w:t>
      </w:r>
      <w:r w:rsidRPr="008F3A1A">
        <w:rPr>
          <w:rStyle w:val="Appelnotedebasdep"/>
          <w:rFonts w:ascii="Garamond" w:hAnsi="Garamond"/>
          <w:szCs w:val="24"/>
          <w:lang w:val="en-GB"/>
        </w:rPr>
        <w:footnoteReference w:id="114"/>
      </w:r>
      <w:r w:rsidRPr="008F3A1A">
        <w:rPr>
          <w:rFonts w:ascii="Garamond" w:eastAsia="Calibri" w:hAnsi="Garamond" w:cs="Times New Roman"/>
          <w:szCs w:val="24"/>
          <w:lang w:val="en-GB"/>
        </w:rPr>
        <w:t xml:space="preserve"> </w:t>
      </w:r>
      <w:r w:rsidRPr="008F3A1A">
        <w:rPr>
          <w:rFonts w:ascii="Garamond" w:hAnsi="Garamond" w:cs="Times New Roman"/>
          <w:szCs w:val="24"/>
          <w:lang w:val="en-GB"/>
        </w:rPr>
        <w:t xml:space="preserve">Accordingly, the Court has held that it can be engaged in a wide variety of cases involving environmental hazards, including, </w:t>
      </w:r>
      <w:r w:rsidRPr="008F3A1A">
        <w:rPr>
          <w:rFonts w:ascii="Garamond" w:hAnsi="Garamond" w:cs="Times New Roman"/>
          <w:i/>
          <w:szCs w:val="24"/>
          <w:lang w:val="en-GB"/>
        </w:rPr>
        <w:t>inter alia</w:t>
      </w:r>
      <w:r w:rsidRPr="008F3A1A">
        <w:rPr>
          <w:rFonts w:ascii="Garamond" w:hAnsi="Garamond" w:cs="Times New Roman"/>
          <w:szCs w:val="24"/>
          <w:lang w:val="en-GB"/>
        </w:rPr>
        <w:t>: (i) the dangerous effects of mining activities; (ii) mineral extraction; (iii) inadequate regulation of liquefied natural gas; and (iv) emissions from factories.</w:t>
      </w:r>
      <w:r w:rsidRPr="008F3A1A">
        <w:rPr>
          <w:rStyle w:val="Appelnotedebasdep"/>
          <w:rFonts w:ascii="Garamond" w:hAnsi="Garamond" w:cs="Times New Roman"/>
          <w:szCs w:val="24"/>
          <w:lang w:val="en-GB"/>
        </w:rPr>
        <w:footnoteReference w:id="115"/>
      </w:r>
      <w:r w:rsidRPr="008F3A1A">
        <w:rPr>
          <w:rFonts w:ascii="Garamond" w:hAnsi="Garamond" w:cs="Times New Roman"/>
          <w:szCs w:val="24"/>
          <w:lang w:val="en-GB"/>
        </w:rPr>
        <w:t xml:space="preserve"> There is no requirement for the Applicant’</w:t>
      </w:r>
      <w:r>
        <w:rPr>
          <w:rFonts w:ascii="Garamond" w:hAnsi="Garamond" w:cs="Times New Roman"/>
          <w:szCs w:val="24"/>
          <w:lang w:val="en-GB"/>
        </w:rPr>
        <w:t>s</w:t>
      </w:r>
      <w:r w:rsidRPr="008F3A1A">
        <w:rPr>
          <w:rFonts w:ascii="Garamond" w:hAnsi="Garamond" w:cs="Times New Roman"/>
          <w:szCs w:val="24"/>
          <w:lang w:val="en-GB"/>
        </w:rPr>
        <w:t xml:space="preserve"> health to be seriously endangered, a deterioration in the quality of life is sufficient to meet the minimum level of severity.</w:t>
      </w:r>
      <w:r w:rsidRPr="008F3A1A">
        <w:rPr>
          <w:rStyle w:val="Appelnotedebasdep"/>
          <w:rFonts w:ascii="Garamond" w:hAnsi="Garamond" w:cs="Times New Roman"/>
          <w:szCs w:val="24"/>
          <w:lang w:val="en-GB"/>
        </w:rPr>
        <w:footnoteReference w:id="116"/>
      </w:r>
    </w:p>
    <w:p w14:paraId="5342C96F" w14:textId="77777777" w:rsidR="008D4DEB" w:rsidRPr="008F3A1A" w:rsidRDefault="008D4DEB">
      <w:pPr>
        <w:pStyle w:val="Paragraphedeliste"/>
        <w:numPr>
          <w:ilvl w:val="0"/>
          <w:numId w:val="8"/>
        </w:numPr>
        <w:spacing w:beforeLines="60" w:before="144" w:afterLines="60" w:after="144" w:line="360" w:lineRule="auto"/>
        <w:ind w:left="567" w:hanging="567"/>
        <w:contextualSpacing w:val="0"/>
        <w:jc w:val="both"/>
        <w:rPr>
          <w:rFonts w:ascii="Garamond" w:eastAsia="Calibri" w:hAnsi="Garamond" w:cs="Times New Roman"/>
          <w:color w:val="70AD47" w:themeColor="accent6"/>
          <w:szCs w:val="24"/>
          <w:lang w:val="en-GB"/>
        </w:rPr>
      </w:pPr>
      <w:r w:rsidRPr="008F3A1A">
        <w:rPr>
          <w:rFonts w:ascii="Garamond" w:hAnsi="Garamond"/>
          <w:szCs w:val="24"/>
          <w:lang w:val="en-GB"/>
        </w:rPr>
        <w:t>That Articles 2 and 8 are applicable follows from the submissions regarding victim status, the impact of climate change, and causation.</w:t>
      </w:r>
    </w:p>
    <w:p w14:paraId="44367B2B" w14:textId="77777777" w:rsidR="008D4DEB" w:rsidRPr="008D4DEB" w:rsidRDefault="008D4DEB" w:rsidP="008D4DEB">
      <w:pPr>
        <w:pStyle w:val="Titre4"/>
        <w:spacing w:line="360" w:lineRule="auto"/>
        <w:rPr>
          <w:rFonts w:ascii="Garamond" w:hAnsi="Garamond"/>
          <w:color w:val="002060"/>
          <w:lang w:val="en-US"/>
        </w:rPr>
      </w:pPr>
      <w:r w:rsidRPr="008D4DEB">
        <w:rPr>
          <w:rFonts w:ascii="Garamond" w:hAnsi="Garamond"/>
          <w:color w:val="002060"/>
          <w:lang w:val="en-US"/>
        </w:rPr>
        <w:t>Positive obligations on States according to Articles 2 and 8</w:t>
      </w:r>
    </w:p>
    <w:p w14:paraId="79200446" w14:textId="77777777" w:rsidR="008D4DEB" w:rsidRPr="008F3A1A" w:rsidRDefault="008D4DEB">
      <w:pPr>
        <w:pStyle w:val="Notedebasdepage"/>
        <w:numPr>
          <w:ilvl w:val="0"/>
          <w:numId w:val="8"/>
        </w:numPr>
        <w:spacing w:beforeLines="60" w:before="144" w:afterLines="60" w:after="144" w:line="360" w:lineRule="auto"/>
        <w:ind w:left="567" w:hanging="567"/>
        <w:jc w:val="both"/>
        <w:rPr>
          <w:rFonts w:ascii="Garamond" w:eastAsia="Calibri" w:hAnsi="Garamond" w:cs="Times New Roman"/>
          <w:sz w:val="24"/>
          <w:szCs w:val="24"/>
        </w:rPr>
      </w:pPr>
      <w:r w:rsidRPr="008F3A1A">
        <w:rPr>
          <w:rFonts w:ascii="Garamond" w:eastAsia="Calibri" w:hAnsi="Garamond" w:cs="Times New Roman"/>
          <w:sz w:val="24"/>
          <w:szCs w:val="24"/>
          <w:lang w:val="en-GB"/>
        </w:rPr>
        <w:lastRenderedPageBreak/>
        <w:t>Articles 2 and 8 are invoked in conjunction with one another as the “</w:t>
      </w:r>
      <w:r w:rsidRPr="008F3A1A">
        <w:rPr>
          <w:rFonts w:ascii="Garamond" w:eastAsia="Calibri" w:hAnsi="Garamond" w:cs="Times New Roman"/>
          <w:i/>
          <w:iCs/>
          <w:sz w:val="24"/>
          <w:szCs w:val="24"/>
          <w:lang w:val="en-GB"/>
        </w:rPr>
        <w:t>scope of the positive obligations under Article 2 of the Convention largely overlaps with those under Article 8</w:t>
      </w:r>
      <w:r w:rsidRPr="008F3A1A">
        <w:rPr>
          <w:rFonts w:ascii="Garamond" w:eastAsia="Calibri" w:hAnsi="Garamond" w:cs="Times New Roman"/>
          <w:sz w:val="24"/>
          <w:szCs w:val="24"/>
          <w:lang w:val="en-GB"/>
        </w:rPr>
        <w:t>”.</w:t>
      </w:r>
      <w:r w:rsidRPr="008F3A1A">
        <w:rPr>
          <w:rStyle w:val="Appelnotedebasdep"/>
          <w:rFonts w:ascii="Garamond" w:hAnsi="Garamond"/>
          <w:sz w:val="24"/>
          <w:szCs w:val="24"/>
          <w:lang w:val="en-GB"/>
        </w:rPr>
        <w:footnoteReference w:id="117"/>
      </w:r>
      <w:r w:rsidRPr="008F3A1A">
        <w:rPr>
          <w:rFonts w:ascii="Garamond" w:eastAsia="Calibri" w:hAnsi="Garamond" w:cs="Times New Roman"/>
          <w:sz w:val="24"/>
          <w:szCs w:val="24"/>
          <w:lang w:val="en-GB"/>
        </w:rPr>
        <w:t xml:space="preserve"> Those positive obligations include:</w:t>
      </w:r>
    </w:p>
    <w:p w14:paraId="5C50E199" w14:textId="77777777" w:rsidR="008D4DEB" w:rsidRPr="008F3A1A" w:rsidRDefault="008D4DEB">
      <w:pPr>
        <w:pStyle w:val="Notedebasdepage"/>
        <w:numPr>
          <w:ilvl w:val="1"/>
          <w:numId w:val="8"/>
        </w:numPr>
        <w:spacing w:beforeLines="60" w:before="144" w:afterLines="60" w:after="144" w:line="360" w:lineRule="auto"/>
        <w:ind w:left="786"/>
        <w:jc w:val="both"/>
        <w:rPr>
          <w:rFonts w:ascii="Garamond" w:eastAsia="Calibri" w:hAnsi="Garamond" w:cs="Times New Roman"/>
          <w:sz w:val="24"/>
          <w:szCs w:val="24"/>
          <w:lang w:val="en-GB"/>
        </w:rPr>
      </w:pPr>
      <w:r w:rsidRPr="008F3A1A">
        <w:rPr>
          <w:rFonts w:ascii="Garamond" w:hAnsi="Garamond"/>
          <w:sz w:val="24"/>
          <w:szCs w:val="24"/>
          <w:u w:val="single"/>
          <w:lang w:val="en-GB"/>
        </w:rPr>
        <w:t>Substantive obligations</w:t>
      </w:r>
      <w:r w:rsidRPr="008F3A1A">
        <w:rPr>
          <w:rFonts w:ascii="Garamond" w:hAnsi="Garamond"/>
          <w:sz w:val="24"/>
          <w:szCs w:val="24"/>
          <w:lang w:val="en-GB"/>
        </w:rPr>
        <w:t>: The Respondent States have a duty to take measures to protect the rights to life and private life from environmental nuisances.</w:t>
      </w:r>
      <w:r w:rsidRPr="008F3A1A">
        <w:rPr>
          <w:rStyle w:val="Appelnotedebasdep"/>
          <w:rFonts w:ascii="Garamond" w:hAnsi="Garamond"/>
          <w:sz w:val="24"/>
          <w:szCs w:val="24"/>
          <w:lang w:val="en-GB"/>
        </w:rPr>
        <w:footnoteReference w:id="118"/>
      </w:r>
      <w:r w:rsidRPr="008F3A1A">
        <w:rPr>
          <w:rFonts w:ascii="Garamond" w:hAnsi="Garamond"/>
          <w:sz w:val="24"/>
          <w:szCs w:val="24"/>
          <w:lang w:val="en-GB"/>
        </w:rPr>
        <w:t xml:space="preserve"> There is thus a duty</w:t>
      </w:r>
      <w:r>
        <w:rPr>
          <w:rFonts w:ascii="Garamond" w:hAnsi="Garamond"/>
          <w:sz w:val="24"/>
          <w:szCs w:val="24"/>
          <w:lang w:val="en-GB"/>
        </w:rPr>
        <w:t xml:space="preserve">, </w:t>
      </w:r>
      <w:r>
        <w:rPr>
          <w:rFonts w:ascii="Garamond" w:hAnsi="Garamond"/>
          <w:i/>
          <w:iCs/>
          <w:sz w:val="24"/>
          <w:szCs w:val="24"/>
          <w:lang w:val="en-GB"/>
        </w:rPr>
        <w:t>inter alia</w:t>
      </w:r>
      <w:r>
        <w:rPr>
          <w:rFonts w:ascii="Garamond" w:hAnsi="Garamond"/>
          <w:sz w:val="24"/>
          <w:szCs w:val="24"/>
          <w:lang w:val="en-GB"/>
        </w:rPr>
        <w:t>,</w:t>
      </w:r>
      <w:r w:rsidRPr="008F3A1A">
        <w:rPr>
          <w:rFonts w:ascii="Garamond" w:hAnsi="Garamond"/>
          <w:sz w:val="24"/>
          <w:szCs w:val="24"/>
          <w:lang w:val="en-GB"/>
        </w:rPr>
        <w:t xml:space="preserve"> to put in place effective legislative and administrative frameworks to prevent or reduce environmental risks to life and private life.</w:t>
      </w:r>
      <w:r w:rsidRPr="008F3A1A">
        <w:rPr>
          <w:rStyle w:val="Appelnotedebasdep"/>
          <w:rFonts w:ascii="Garamond" w:hAnsi="Garamond"/>
          <w:sz w:val="24"/>
          <w:szCs w:val="24"/>
          <w:lang w:val="en-GB"/>
        </w:rPr>
        <w:footnoteReference w:id="119"/>
      </w:r>
    </w:p>
    <w:p w14:paraId="25EB8147" w14:textId="77777777" w:rsidR="008D4DEB" w:rsidRPr="008F3A1A" w:rsidRDefault="008D4DEB">
      <w:pPr>
        <w:pStyle w:val="Notedebasdepage"/>
        <w:numPr>
          <w:ilvl w:val="1"/>
          <w:numId w:val="8"/>
        </w:numPr>
        <w:spacing w:beforeLines="60" w:before="144" w:afterLines="60" w:after="144" w:line="360" w:lineRule="auto"/>
        <w:ind w:left="786"/>
        <w:jc w:val="both"/>
        <w:rPr>
          <w:rFonts w:ascii="Garamond" w:eastAsia="Calibri" w:hAnsi="Garamond" w:cs="Times New Roman"/>
          <w:sz w:val="24"/>
          <w:szCs w:val="24"/>
          <w:lang w:val="en-GB"/>
        </w:rPr>
      </w:pPr>
      <w:r w:rsidRPr="008F3A1A">
        <w:rPr>
          <w:rFonts w:ascii="Garamond" w:hAnsi="Garamond"/>
          <w:sz w:val="24"/>
          <w:szCs w:val="24"/>
          <w:u w:val="single"/>
          <w:lang w:val="en-GB"/>
        </w:rPr>
        <w:t>Procedural obligations</w:t>
      </w:r>
      <w:r w:rsidRPr="008F3A1A">
        <w:rPr>
          <w:rFonts w:ascii="Garamond" w:hAnsi="Garamond"/>
          <w:sz w:val="24"/>
          <w:szCs w:val="24"/>
          <w:lang w:val="en-GB"/>
        </w:rPr>
        <w:t>: Decision-making processes leading to interferences must be fair and afford due respect to the interests protected under Articles 2 and 8.</w:t>
      </w:r>
      <w:r w:rsidRPr="008F3A1A">
        <w:rPr>
          <w:rStyle w:val="Appelnotedebasdep"/>
          <w:rFonts w:ascii="Garamond" w:hAnsi="Garamond"/>
          <w:sz w:val="24"/>
          <w:szCs w:val="24"/>
          <w:lang w:val="en-GB"/>
        </w:rPr>
        <w:footnoteReference w:id="120"/>
      </w:r>
      <w:r w:rsidRPr="008F3A1A">
        <w:rPr>
          <w:rFonts w:ascii="Garamond" w:hAnsi="Garamond"/>
          <w:sz w:val="24"/>
          <w:szCs w:val="24"/>
          <w:lang w:val="en-GB"/>
        </w:rPr>
        <w:t xml:space="preserve"> Decision-making processes must involve “</w:t>
      </w:r>
      <w:r w:rsidRPr="008F3A1A">
        <w:rPr>
          <w:rFonts w:ascii="Garamond" w:hAnsi="Garamond"/>
          <w:i/>
          <w:iCs/>
          <w:sz w:val="24"/>
          <w:szCs w:val="24"/>
          <w:lang w:val="en-GB"/>
        </w:rPr>
        <w:t>appropriate investigations and studies”</w:t>
      </w:r>
      <w:r w:rsidRPr="008F3A1A">
        <w:rPr>
          <w:rFonts w:ascii="Garamond" w:hAnsi="Garamond"/>
          <w:sz w:val="24"/>
          <w:szCs w:val="24"/>
          <w:lang w:val="en-GB"/>
        </w:rPr>
        <w:t>,</w:t>
      </w:r>
      <w:r w:rsidRPr="008F3A1A">
        <w:rPr>
          <w:rStyle w:val="Appelnotedebasdep"/>
          <w:rFonts w:ascii="Garamond" w:hAnsi="Garamond"/>
          <w:sz w:val="24"/>
          <w:szCs w:val="24"/>
          <w:lang w:val="en-GB"/>
        </w:rPr>
        <w:footnoteReference w:id="121"/>
      </w:r>
      <w:r w:rsidRPr="008F3A1A">
        <w:rPr>
          <w:rFonts w:ascii="Garamond" w:hAnsi="Garamond"/>
          <w:sz w:val="24"/>
          <w:szCs w:val="24"/>
          <w:lang w:val="en-GB"/>
        </w:rPr>
        <w:t xml:space="preserve"> </w:t>
      </w:r>
      <w:r w:rsidRPr="008F3A1A">
        <w:rPr>
          <w:rFonts w:ascii="Garamond" w:hAnsi="Garamond"/>
          <w:i/>
          <w:iCs/>
          <w:sz w:val="24"/>
          <w:szCs w:val="24"/>
          <w:lang w:val="en-GB"/>
        </w:rPr>
        <w:t>“assessment[s] in advance of potential risks of the activity in question”</w:t>
      </w:r>
      <w:r w:rsidRPr="008F3A1A">
        <w:rPr>
          <w:rFonts w:ascii="Garamond" w:hAnsi="Garamond"/>
          <w:sz w:val="24"/>
          <w:szCs w:val="24"/>
          <w:lang w:val="en-GB"/>
        </w:rPr>
        <w:t>,</w:t>
      </w:r>
      <w:r w:rsidRPr="008F3A1A">
        <w:rPr>
          <w:rStyle w:val="Appelnotedebasdep"/>
          <w:rFonts w:ascii="Garamond" w:hAnsi="Garamond"/>
          <w:sz w:val="24"/>
          <w:szCs w:val="24"/>
          <w:lang w:val="en-GB"/>
        </w:rPr>
        <w:footnoteReference w:id="122"/>
      </w:r>
      <w:r w:rsidRPr="008F3A1A">
        <w:rPr>
          <w:rFonts w:ascii="Garamond" w:hAnsi="Garamond"/>
          <w:sz w:val="24"/>
          <w:szCs w:val="24"/>
          <w:lang w:val="en-GB"/>
        </w:rPr>
        <w:t xml:space="preserve"> and that information must be publicly available.</w:t>
      </w:r>
      <w:r w:rsidRPr="008F3A1A">
        <w:rPr>
          <w:rStyle w:val="Appelnotedebasdep"/>
          <w:rFonts w:ascii="Garamond" w:hAnsi="Garamond"/>
          <w:sz w:val="24"/>
          <w:szCs w:val="24"/>
          <w:lang w:val="en-GB"/>
        </w:rPr>
        <w:footnoteReference w:id="123"/>
      </w:r>
    </w:p>
    <w:p w14:paraId="56CB3A56" w14:textId="77777777" w:rsidR="008D4DEB" w:rsidRPr="008F3A1A" w:rsidRDefault="008D4DEB">
      <w:pPr>
        <w:pStyle w:val="Paragraphedeliste"/>
        <w:numPr>
          <w:ilvl w:val="0"/>
          <w:numId w:val="8"/>
        </w:numPr>
        <w:spacing w:beforeLines="60" w:before="144" w:afterLines="60" w:after="144" w:line="360" w:lineRule="auto"/>
        <w:ind w:left="567" w:hanging="567"/>
        <w:contextualSpacing w:val="0"/>
        <w:jc w:val="both"/>
        <w:rPr>
          <w:rFonts w:ascii="Garamond" w:hAnsi="Garamond"/>
          <w:lang w:val="en-GB"/>
        </w:rPr>
      </w:pPr>
      <w:r w:rsidRPr="008F3A1A">
        <w:rPr>
          <w:rFonts w:ascii="Garamond" w:eastAsia="Calibri" w:hAnsi="Garamond" w:cs="Times New Roman"/>
          <w:szCs w:val="24"/>
          <w:lang w:val="en-GB"/>
        </w:rPr>
        <w:t>Article 2 enshrines one of the most basic values of the democratic societies making up the Council of Europe.</w:t>
      </w:r>
      <w:r w:rsidRPr="008F3A1A">
        <w:rPr>
          <w:rStyle w:val="Appelnotedebasdep"/>
          <w:rFonts w:ascii="Garamond" w:eastAsia="Calibri" w:hAnsi="Garamond" w:cs="Times New Roman"/>
          <w:szCs w:val="24"/>
          <w:lang w:val="en-GB"/>
        </w:rPr>
        <w:footnoteReference w:id="124"/>
      </w:r>
      <w:r w:rsidRPr="008F3A1A">
        <w:rPr>
          <w:rFonts w:ascii="Garamond" w:eastAsia="Calibri" w:hAnsi="Garamond" w:cs="Times New Roman"/>
          <w:szCs w:val="24"/>
          <w:lang w:val="en-GB"/>
        </w:rPr>
        <w:t xml:space="preserve"> The Court has thus held that it must be “</w:t>
      </w:r>
      <w:r w:rsidRPr="008F3A1A">
        <w:rPr>
          <w:rFonts w:ascii="Garamond" w:eastAsia="Calibri" w:hAnsi="Garamond" w:cs="Times New Roman"/>
          <w:i/>
          <w:szCs w:val="24"/>
          <w:lang w:val="en-GB"/>
        </w:rPr>
        <w:t>especially vigilant</w:t>
      </w:r>
      <w:r w:rsidRPr="008F3A1A">
        <w:rPr>
          <w:rFonts w:ascii="Garamond" w:eastAsia="Calibri" w:hAnsi="Garamond" w:cs="Times New Roman"/>
          <w:szCs w:val="24"/>
          <w:lang w:val="en-GB"/>
        </w:rPr>
        <w:t>” in right-to-life cases give</w:t>
      </w:r>
      <w:r>
        <w:rPr>
          <w:rFonts w:ascii="Garamond" w:eastAsia="Calibri" w:hAnsi="Garamond" w:cs="Times New Roman"/>
          <w:szCs w:val="24"/>
          <w:lang w:val="en-GB"/>
        </w:rPr>
        <w:t>n</w:t>
      </w:r>
      <w:r w:rsidRPr="008F3A1A">
        <w:rPr>
          <w:rFonts w:ascii="Garamond" w:eastAsia="Calibri" w:hAnsi="Garamond" w:cs="Times New Roman"/>
          <w:szCs w:val="24"/>
          <w:lang w:val="en-GB"/>
        </w:rPr>
        <w:t xml:space="preserve"> the severity of the consequences.</w:t>
      </w:r>
      <w:r w:rsidRPr="008F3A1A">
        <w:rPr>
          <w:rStyle w:val="Appelnotedebasdep"/>
          <w:rFonts w:ascii="Garamond" w:eastAsia="Calibri" w:hAnsi="Garamond" w:cs="Times New Roman"/>
          <w:szCs w:val="24"/>
          <w:lang w:val="en-GB"/>
        </w:rPr>
        <w:footnoteReference w:id="125"/>
      </w:r>
      <w:r w:rsidRPr="008F3A1A">
        <w:rPr>
          <w:rFonts w:ascii="Garamond" w:eastAsia="Calibri" w:hAnsi="Garamond" w:cs="Times New Roman"/>
          <w:szCs w:val="24"/>
          <w:lang w:val="en-GB"/>
        </w:rPr>
        <w:t xml:space="preserve"> </w:t>
      </w:r>
      <w:r w:rsidRPr="008F3A1A">
        <w:rPr>
          <w:rFonts w:ascii="Garamond" w:hAnsi="Garamond" w:cs="Times New Roman"/>
          <w:color w:val="050707"/>
          <w:szCs w:val="24"/>
          <w:lang w:val="en-GB"/>
        </w:rPr>
        <w:t xml:space="preserve"> </w:t>
      </w:r>
      <w:r w:rsidRPr="008F3A1A">
        <w:rPr>
          <w:rFonts w:ascii="Garamond" w:hAnsi="Garamond" w:cs="ñ-VŒ˛"/>
          <w:color w:val="050707"/>
          <w:szCs w:val="24"/>
          <w:lang w:val="en-GB"/>
        </w:rPr>
        <w:t>In assessing whether the Respondent States have complied with their obligations under Article 2,</w:t>
      </w:r>
      <w:r w:rsidRPr="008F3A1A">
        <w:rPr>
          <w:rFonts w:ascii="Garamond" w:hAnsi="Garamond" w:cs="Times New Roman"/>
          <w:color w:val="050707"/>
          <w:szCs w:val="24"/>
          <w:lang w:val="en-GB"/>
        </w:rPr>
        <w:t xml:space="preserve"> the </w:t>
      </w:r>
      <w:r w:rsidRPr="008F3A1A">
        <w:rPr>
          <w:rFonts w:ascii="Garamond" w:hAnsi="Garamond" w:cs="ñ-VŒ˛"/>
          <w:color w:val="050707"/>
          <w:szCs w:val="24"/>
          <w:lang w:val="en-GB"/>
        </w:rPr>
        <w:t>Court’s task is “</w:t>
      </w:r>
      <w:r w:rsidRPr="008F3A1A">
        <w:rPr>
          <w:rFonts w:ascii="Garamond" w:hAnsi="Garamond" w:cs="Times New Roman"/>
          <w:i/>
          <w:color w:val="050707"/>
          <w:szCs w:val="24"/>
          <w:lang w:val="en-GB"/>
        </w:rPr>
        <w:t>to determine whether, given the circumstances of the case, the State did all that could have been required of it to prevent the applicant</w:t>
      </w:r>
      <w:r w:rsidRPr="008F3A1A">
        <w:rPr>
          <w:rFonts w:ascii="Garamond" w:hAnsi="Garamond" w:cs="ñ-VŒ˛"/>
          <w:i/>
          <w:color w:val="050707"/>
          <w:szCs w:val="24"/>
          <w:lang w:val="en-GB"/>
        </w:rPr>
        <w:t xml:space="preserve">’s </w:t>
      </w:r>
      <w:r w:rsidRPr="008F3A1A">
        <w:rPr>
          <w:rFonts w:ascii="Garamond" w:hAnsi="Garamond" w:cs="Times New Roman"/>
          <w:i/>
          <w:color w:val="050707"/>
          <w:szCs w:val="24"/>
          <w:lang w:val="en-GB"/>
        </w:rPr>
        <w:t>life from being avoidably put at risk</w:t>
      </w:r>
      <w:r w:rsidRPr="008F3A1A">
        <w:rPr>
          <w:rFonts w:ascii="Garamond" w:hAnsi="Garamond" w:cs="Times New Roman"/>
          <w:color w:val="050707"/>
          <w:szCs w:val="24"/>
          <w:lang w:val="en-GB"/>
        </w:rPr>
        <w:t>”</w:t>
      </w:r>
      <w:r w:rsidRPr="008F3A1A">
        <w:rPr>
          <w:rFonts w:ascii="Garamond" w:hAnsi="Garamond" w:cs="ñ-VŒ˛"/>
          <w:color w:val="050707"/>
          <w:szCs w:val="24"/>
          <w:lang w:val="en-GB"/>
        </w:rPr>
        <w:t>.</w:t>
      </w:r>
      <w:r w:rsidRPr="008F3A1A">
        <w:rPr>
          <w:rStyle w:val="Appelnotedebasdep"/>
          <w:rFonts w:ascii="Garamond" w:hAnsi="Garamond" w:cs="ñ-VŒ˛"/>
          <w:color w:val="050707"/>
          <w:szCs w:val="24"/>
          <w:lang w:val="en-GB"/>
        </w:rPr>
        <w:footnoteReference w:id="126"/>
      </w:r>
      <w:r w:rsidRPr="008F3A1A">
        <w:rPr>
          <w:rFonts w:ascii="Garamond" w:hAnsi="Garamond" w:cs="ñ-VŒ˛"/>
          <w:color w:val="050707"/>
          <w:szCs w:val="24"/>
          <w:lang w:val="en-GB"/>
        </w:rPr>
        <w:t xml:space="preserve"> Under </w:t>
      </w:r>
      <w:r w:rsidRPr="008F3A1A">
        <w:rPr>
          <w:rFonts w:ascii="Garamond" w:hAnsi="Garamond"/>
          <w:szCs w:val="24"/>
          <w:lang w:val="en-GB"/>
        </w:rPr>
        <w:t>Article 8, it has been observed States must “</w:t>
      </w:r>
      <w:r w:rsidRPr="008F3A1A">
        <w:rPr>
          <w:rFonts w:ascii="Garamond" w:hAnsi="Garamond"/>
          <w:i/>
          <w:szCs w:val="24"/>
          <w:lang w:val="en-GB"/>
        </w:rPr>
        <w:t>take reasonable and appropriate measures to secure the applicant’s rights</w:t>
      </w:r>
      <w:r w:rsidRPr="008F3A1A">
        <w:rPr>
          <w:rFonts w:ascii="Garamond" w:hAnsi="Garamond"/>
          <w:szCs w:val="24"/>
          <w:lang w:val="en-GB"/>
        </w:rPr>
        <w:t>”.</w:t>
      </w:r>
      <w:r w:rsidRPr="008F3A1A">
        <w:rPr>
          <w:rStyle w:val="Appelnotedebasdep"/>
          <w:rFonts w:ascii="Garamond" w:hAnsi="Garamond" w:cs="Times New Roman"/>
          <w:szCs w:val="24"/>
          <w:lang w:val="en-GB"/>
        </w:rPr>
        <w:footnoteReference w:id="127"/>
      </w:r>
      <w:r w:rsidRPr="008F3A1A">
        <w:rPr>
          <w:rFonts w:ascii="Garamond" w:hAnsi="Garamond"/>
          <w:lang w:val="en-GB"/>
        </w:rPr>
        <w:t xml:space="preserve"> </w:t>
      </w:r>
    </w:p>
    <w:p w14:paraId="4D89E243" w14:textId="77777777" w:rsidR="008D4DEB" w:rsidRPr="008D4DEB" w:rsidRDefault="008D4DEB" w:rsidP="008D4DEB">
      <w:pPr>
        <w:pStyle w:val="Titre4"/>
        <w:spacing w:line="360" w:lineRule="auto"/>
        <w:rPr>
          <w:rFonts w:ascii="Garamond" w:hAnsi="Garamond"/>
          <w:color w:val="002060"/>
          <w:lang w:val="en-US"/>
        </w:rPr>
      </w:pPr>
      <w:r w:rsidRPr="008D4DEB">
        <w:rPr>
          <w:rFonts w:ascii="Garamond" w:hAnsi="Garamond"/>
          <w:color w:val="002060"/>
          <w:lang w:val="en-US"/>
        </w:rPr>
        <w:t>Application of the positive substantive obligations in the ECT context</w:t>
      </w:r>
    </w:p>
    <w:p w14:paraId="3DBA0932" w14:textId="77777777" w:rsidR="008D4DEB" w:rsidRPr="008F3A1A" w:rsidRDefault="008D4DEB">
      <w:pPr>
        <w:pStyle w:val="Notedebasdepage"/>
        <w:numPr>
          <w:ilvl w:val="0"/>
          <w:numId w:val="8"/>
        </w:numPr>
        <w:spacing w:beforeLines="60" w:before="144" w:afterLines="60" w:after="144" w:line="360" w:lineRule="auto"/>
        <w:ind w:left="567" w:hanging="567"/>
        <w:jc w:val="both"/>
        <w:rPr>
          <w:rFonts w:ascii="Garamond" w:hAnsi="Garamond" w:cs="Times New Roman"/>
          <w:sz w:val="24"/>
          <w:szCs w:val="24"/>
          <w:lang w:val="en-GB"/>
        </w:rPr>
      </w:pPr>
      <w:r w:rsidRPr="008F3A1A">
        <w:rPr>
          <w:rFonts w:ascii="Garamond" w:hAnsi="Garamond"/>
          <w:sz w:val="24"/>
          <w:szCs w:val="24"/>
          <w:lang w:val="en-GB"/>
        </w:rPr>
        <w:t xml:space="preserve">Fulfilment of the substantive obligations under Articles 2 and 8 in the context of climate change requires each Respondent State to regulate and/or limit emissions of GHG in a manner that is </w:t>
      </w:r>
      <w:r w:rsidRPr="008F3A1A">
        <w:rPr>
          <w:rFonts w:ascii="Garamond" w:hAnsi="Garamond"/>
          <w:sz w:val="24"/>
          <w:szCs w:val="24"/>
          <w:lang w:val="en-GB"/>
        </w:rPr>
        <w:lastRenderedPageBreak/>
        <w:t>consistent with achieving the LTTG of 1.5°C (</w:t>
      </w:r>
      <w:r w:rsidRPr="008F3A1A">
        <w:rPr>
          <w:rFonts w:ascii="Garamond" w:hAnsi="Garamond" w:cs="Calibri"/>
          <w:sz w:val="24"/>
          <w:szCs w:val="24"/>
          <w:lang w:val="en-GB"/>
        </w:rPr>
        <w:t>“</w:t>
      </w:r>
      <w:r w:rsidRPr="00B5039A">
        <w:rPr>
          <w:rFonts w:ascii="Garamond" w:hAnsi="Garamond"/>
          <w:sz w:val="24"/>
          <w:szCs w:val="24"/>
          <w:lang w:val="en-GB"/>
        </w:rPr>
        <w:t>the overriding obligation</w:t>
      </w:r>
      <w:r w:rsidRPr="008F3A1A">
        <w:rPr>
          <w:rFonts w:ascii="Garamond" w:hAnsi="Garamond" w:cs="Calibri"/>
          <w:sz w:val="24"/>
          <w:szCs w:val="24"/>
          <w:lang w:val="en-GB"/>
        </w:rPr>
        <w:t>”</w:t>
      </w:r>
      <w:r w:rsidRPr="008F3A1A">
        <w:rPr>
          <w:rFonts w:ascii="Garamond" w:hAnsi="Garamond"/>
          <w:sz w:val="24"/>
          <w:szCs w:val="24"/>
          <w:lang w:val="en-GB"/>
        </w:rPr>
        <w:t>). This existence of this obligation flows from:</w:t>
      </w:r>
    </w:p>
    <w:p w14:paraId="24FF8960" w14:textId="77777777" w:rsidR="008D4DEB" w:rsidRPr="008F3A1A" w:rsidRDefault="008D4DEB">
      <w:pPr>
        <w:pStyle w:val="Notedebasdepage"/>
        <w:numPr>
          <w:ilvl w:val="1"/>
          <w:numId w:val="8"/>
        </w:numPr>
        <w:spacing w:beforeLines="60" w:before="144" w:afterLines="60" w:after="144" w:line="360" w:lineRule="auto"/>
        <w:ind w:left="786"/>
        <w:jc w:val="both"/>
        <w:rPr>
          <w:rFonts w:ascii="Garamond" w:hAnsi="Garamond" w:cs="Times New Roman"/>
          <w:sz w:val="24"/>
          <w:szCs w:val="24"/>
          <w:lang w:val="en-GB"/>
        </w:rPr>
      </w:pPr>
      <w:r w:rsidRPr="008F3A1A">
        <w:rPr>
          <w:rFonts w:ascii="Garamond" w:hAnsi="Garamond"/>
          <w:sz w:val="24"/>
          <w:szCs w:val="24"/>
          <w:lang w:val="en-GB"/>
        </w:rPr>
        <w:t>The catastrophic and irreversible consequences climate change will have on the Applicant’</w:t>
      </w:r>
      <w:r>
        <w:rPr>
          <w:rFonts w:ascii="Garamond" w:hAnsi="Garamond"/>
          <w:sz w:val="24"/>
          <w:szCs w:val="24"/>
          <w:lang w:val="en-GB"/>
        </w:rPr>
        <w:t>s</w:t>
      </w:r>
      <w:r w:rsidRPr="008F3A1A">
        <w:rPr>
          <w:rFonts w:ascii="Garamond" w:hAnsi="Garamond"/>
          <w:sz w:val="24"/>
          <w:szCs w:val="24"/>
          <w:lang w:val="en-GB"/>
        </w:rPr>
        <w:t xml:space="preserve"> rights if the LTTG of 1.5</w:t>
      </w:r>
      <w:r w:rsidRPr="008F3A1A">
        <w:rPr>
          <w:rFonts w:cs="Times New Roman"/>
          <w:sz w:val="24"/>
          <w:szCs w:val="24"/>
          <w:lang w:val="en-GB"/>
        </w:rPr>
        <w:t>℃</w:t>
      </w:r>
      <w:r w:rsidRPr="008F3A1A">
        <w:rPr>
          <w:rFonts w:ascii="Garamond" w:hAnsi="Garamond"/>
          <w:sz w:val="24"/>
          <w:szCs w:val="24"/>
          <w:lang w:val="en-GB"/>
        </w:rPr>
        <w:t xml:space="preserve"> is exceeded;</w:t>
      </w:r>
    </w:p>
    <w:p w14:paraId="7A45E2EA" w14:textId="77777777" w:rsidR="008D4DEB" w:rsidRPr="008F3A1A" w:rsidRDefault="008D4DEB">
      <w:pPr>
        <w:pStyle w:val="Notedebasdepage"/>
        <w:numPr>
          <w:ilvl w:val="1"/>
          <w:numId w:val="8"/>
        </w:numPr>
        <w:spacing w:beforeLines="60" w:before="144" w:afterLines="60" w:after="144" w:line="360" w:lineRule="auto"/>
        <w:ind w:left="786"/>
        <w:jc w:val="both"/>
        <w:rPr>
          <w:rFonts w:ascii="Garamond" w:hAnsi="Garamond" w:cs="Times New Roman"/>
          <w:sz w:val="24"/>
          <w:szCs w:val="24"/>
          <w:lang w:val="en-GB"/>
        </w:rPr>
      </w:pPr>
      <w:r w:rsidRPr="008F3A1A">
        <w:rPr>
          <w:rFonts w:ascii="Garamond" w:hAnsi="Garamond"/>
          <w:sz w:val="24"/>
          <w:szCs w:val="24"/>
          <w:lang w:val="en-GB"/>
        </w:rPr>
        <w:t xml:space="preserve">The fact that emissions of GHG are the key determinant of temperature increases and the cause of climate harms; </w:t>
      </w:r>
    </w:p>
    <w:p w14:paraId="661F304E" w14:textId="77777777" w:rsidR="008D4DEB" w:rsidRPr="008F3A1A" w:rsidRDefault="008D4DEB">
      <w:pPr>
        <w:pStyle w:val="Notedebasdepage"/>
        <w:numPr>
          <w:ilvl w:val="1"/>
          <w:numId w:val="8"/>
        </w:numPr>
        <w:spacing w:beforeLines="60" w:before="144" w:afterLines="60" w:after="144" w:line="360" w:lineRule="auto"/>
        <w:ind w:left="786"/>
        <w:jc w:val="both"/>
        <w:rPr>
          <w:rFonts w:ascii="Garamond" w:hAnsi="Garamond" w:cs="Times New Roman"/>
          <w:sz w:val="24"/>
          <w:szCs w:val="24"/>
          <w:lang w:val="en-GB"/>
        </w:rPr>
      </w:pPr>
      <w:r w:rsidRPr="008F3A1A">
        <w:rPr>
          <w:rFonts w:ascii="Garamond" w:hAnsi="Garamond"/>
          <w:sz w:val="24"/>
          <w:szCs w:val="24"/>
          <w:lang w:val="en-GB"/>
        </w:rPr>
        <w:t>The Respondent States’ roles in materially contributing to temperature increases by producing / permitting emissions within their jurisdictions;</w:t>
      </w:r>
    </w:p>
    <w:p w14:paraId="558CFF92" w14:textId="77777777" w:rsidR="008D4DEB" w:rsidRPr="008F3A1A" w:rsidRDefault="008D4DEB">
      <w:pPr>
        <w:pStyle w:val="Notedebasdepage"/>
        <w:numPr>
          <w:ilvl w:val="1"/>
          <w:numId w:val="8"/>
        </w:numPr>
        <w:spacing w:beforeLines="60" w:before="144" w:afterLines="60" w:after="144" w:line="360" w:lineRule="auto"/>
        <w:ind w:left="786"/>
        <w:jc w:val="both"/>
        <w:rPr>
          <w:rFonts w:ascii="Garamond" w:hAnsi="Garamond" w:cs="Times New Roman"/>
          <w:sz w:val="24"/>
          <w:szCs w:val="24"/>
          <w:lang w:val="en-GB"/>
        </w:rPr>
      </w:pPr>
      <w:r w:rsidRPr="008F3A1A">
        <w:rPr>
          <w:rFonts w:ascii="Garamond" w:hAnsi="Garamond"/>
          <w:sz w:val="24"/>
          <w:szCs w:val="24"/>
          <w:lang w:val="en-GB"/>
        </w:rPr>
        <w:t xml:space="preserve">The fact that rapid and deep emissions reductions must be made, </w:t>
      </w:r>
      <w:r w:rsidRPr="00394325">
        <w:rPr>
          <w:rFonts w:ascii="Garamond" w:hAnsi="Garamond"/>
          <w:sz w:val="24"/>
          <w:szCs w:val="24"/>
          <w:lang w:val="en-GB"/>
        </w:rPr>
        <w:t>and energy transition effected</w:t>
      </w:r>
      <w:r w:rsidRPr="008F3A1A">
        <w:rPr>
          <w:rFonts w:ascii="Garamond" w:hAnsi="Garamond"/>
          <w:sz w:val="24"/>
          <w:szCs w:val="24"/>
          <w:lang w:val="en-GB"/>
        </w:rPr>
        <w:t>, to avert dangerous climate change; and</w:t>
      </w:r>
    </w:p>
    <w:p w14:paraId="1D3558B6" w14:textId="77777777" w:rsidR="008D4DEB" w:rsidRPr="008F3A1A" w:rsidRDefault="008D4DEB">
      <w:pPr>
        <w:pStyle w:val="Notedebasdepage"/>
        <w:numPr>
          <w:ilvl w:val="1"/>
          <w:numId w:val="8"/>
        </w:numPr>
        <w:spacing w:beforeLines="60" w:before="144" w:afterLines="60" w:after="144" w:line="360" w:lineRule="auto"/>
        <w:ind w:left="786"/>
        <w:jc w:val="both"/>
        <w:rPr>
          <w:rFonts w:ascii="Garamond" w:hAnsi="Garamond" w:cs="Times New Roman"/>
          <w:sz w:val="24"/>
          <w:szCs w:val="24"/>
          <w:lang w:val="en-GB"/>
        </w:rPr>
      </w:pPr>
      <w:r w:rsidRPr="008F3A1A">
        <w:rPr>
          <w:rFonts w:ascii="Garamond" w:hAnsi="Garamond"/>
          <w:sz w:val="24"/>
          <w:szCs w:val="24"/>
          <w:lang w:val="en-GB"/>
        </w:rPr>
        <w:t>The international political and scientific consensus that 1.5</w:t>
      </w:r>
      <w:r w:rsidRPr="008F3A1A">
        <w:rPr>
          <w:rFonts w:cs="Times New Roman"/>
          <w:sz w:val="24"/>
          <w:szCs w:val="24"/>
          <w:lang w:val="en-GB"/>
        </w:rPr>
        <w:t>℃</w:t>
      </w:r>
      <w:r w:rsidRPr="008F3A1A">
        <w:rPr>
          <w:rFonts w:ascii="Garamond" w:hAnsi="Garamond"/>
          <w:sz w:val="24"/>
          <w:szCs w:val="24"/>
          <w:lang w:val="en-GB"/>
        </w:rPr>
        <w:t xml:space="preserve"> is the appropriate LTTG, confirmed by the fact that all the Respondent States, as well as all member States to the Council of Europe, ratified the Paris Agreement.</w:t>
      </w:r>
    </w:p>
    <w:p w14:paraId="2298FB56" w14:textId="77777777" w:rsidR="008D4DEB" w:rsidRPr="008F3A1A" w:rsidRDefault="008D4DEB">
      <w:pPr>
        <w:pStyle w:val="Paragraphedeliste"/>
        <w:numPr>
          <w:ilvl w:val="0"/>
          <w:numId w:val="8"/>
        </w:numPr>
        <w:spacing w:beforeLines="60" w:before="144" w:afterLines="60" w:after="144" w:line="360" w:lineRule="auto"/>
        <w:ind w:left="567" w:hanging="567"/>
        <w:contextualSpacing w:val="0"/>
        <w:jc w:val="both"/>
        <w:rPr>
          <w:rFonts w:ascii="Garamond" w:hAnsi="Garamond"/>
          <w:lang w:val="en-GB"/>
        </w:rPr>
      </w:pPr>
      <w:r w:rsidRPr="008F3A1A">
        <w:rPr>
          <w:rFonts w:ascii="Garamond" w:hAnsi="Garamond"/>
          <w:szCs w:val="24"/>
          <w:lang w:val="en-GB"/>
        </w:rPr>
        <w:t xml:space="preserve">Further, the existence and content of the overriding obligation is supported by, </w:t>
      </w:r>
      <w:r w:rsidRPr="008F3A1A">
        <w:rPr>
          <w:rFonts w:ascii="Garamond" w:hAnsi="Garamond"/>
          <w:i/>
          <w:iCs/>
          <w:szCs w:val="24"/>
          <w:lang w:val="en-GB"/>
        </w:rPr>
        <w:t>inter alia</w:t>
      </w:r>
      <w:r w:rsidRPr="008F3A1A">
        <w:rPr>
          <w:rFonts w:ascii="Garamond" w:hAnsi="Garamond"/>
          <w:szCs w:val="24"/>
          <w:lang w:val="en-GB"/>
        </w:rPr>
        <w:t>: (i) the objectives and emissions reduction obligations recognised in Article 2 and 4(2) of the UNFCCC,</w:t>
      </w:r>
      <w:r w:rsidRPr="008F3A1A">
        <w:rPr>
          <w:rStyle w:val="Appelnotedebasdep"/>
          <w:rFonts w:ascii="Garamond" w:hAnsi="Garamond"/>
          <w:szCs w:val="24"/>
          <w:lang w:val="en-GB"/>
        </w:rPr>
        <w:footnoteReference w:id="128"/>
      </w:r>
      <w:r w:rsidRPr="008F3A1A">
        <w:rPr>
          <w:rFonts w:ascii="Garamond" w:hAnsi="Garamond"/>
          <w:szCs w:val="24"/>
          <w:lang w:val="en-GB"/>
        </w:rPr>
        <w:t xml:space="preserve"> and Articles 2(1)(a) and 4 of the Paris Agreement;</w:t>
      </w:r>
      <w:r w:rsidRPr="008F3A1A">
        <w:rPr>
          <w:rStyle w:val="Appelnotedebasdep"/>
          <w:rFonts w:ascii="Garamond" w:hAnsi="Garamond"/>
          <w:szCs w:val="24"/>
          <w:lang w:val="en-GB"/>
        </w:rPr>
        <w:footnoteReference w:id="129"/>
      </w:r>
      <w:r w:rsidRPr="008F3A1A">
        <w:rPr>
          <w:rFonts w:ascii="Garamond" w:hAnsi="Garamond"/>
          <w:szCs w:val="24"/>
          <w:lang w:val="en-GB"/>
        </w:rPr>
        <w:t xml:space="preserve"> (ii) States’ duties to adopt a precautionary approach in the face of serious and irreversible environmental harm;</w:t>
      </w:r>
      <w:r w:rsidRPr="008F3A1A">
        <w:rPr>
          <w:rStyle w:val="Appelnotedebasdep"/>
          <w:rFonts w:ascii="Garamond" w:hAnsi="Garamond"/>
          <w:szCs w:val="24"/>
          <w:lang w:val="en-GB"/>
        </w:rPr>
        <w:footnoteReference w:id="130"/>
      </w:r>
      <w:r w:rsidRPr="008F3A1A">
        <w:rPr>
          <w:rFonts w:ascii="Garamond" w:hAnsi="Garamond"/>
          <w:szCs w:val="24"/>
          <w:lang w:val="en-GB"/>
        </w:rPr>
        <w:t xml:space="preserve"> (iii) States’ duties to preserve the natural environment for future generations and ensure the sustainable use of natural resources </w:t>
      </w:r>
      <w:r w:rsidRPr="008F3A1A">
        <w:rPr>
          <w:rFonts w:ascii="Garamond" w:hAnsi="Garamond"/>
          <w:szCs w:val="24"/>
          <w:lang w:val="en-GB"/>
        </w:rPr>
        <w:lastRenderedPageBreak/>
        <w:t>(“the principle of sustainable development”);</w:t>
      </w:r>
      <w:r w:rsidRPr="008F3A1A">
        <w:rPr>
          <w:rStyle w:val="Appelnotedebasdep"/>
          <w:rFonts w:ascii="Garamond" w:hAnsi="Garamond"/>
          <w:szCs w:val="24"/>
          <w:lang w:val="en-GB"/>
        </w:rPr>
        <w:footnoteReference w:id="131"/>
      </w:r>
      <w:r w:rsidRPr="008F3A1A">
        <w:rPr>
          <w:rFonts w:ascii="Garamond" w:hAnsi="Garamond"/>
          <w:szCs w:val="24"/>
          <w:lang w:val="en-GB"/>
        </w:rPr>
        <w:t xml:space="preserve"> (iv) States’ duties to prevent transboundary environmental harm.</w:t>
      </w:r>
      <w:r w:rsidRPr="008F3A1A">
        <w:rPr>
          <w:rStyle w:val="Appelnotedebasdep"/>
          <w:rFonts w:ascii="Garamond" w:hAnsi="Garamond"/>
          <w:szCs w:val="24"/>
          <w:lang w:val="en-GB"/>
        </w:rPr>
        <w:footnoteReference w:id="132"/>
      </w:r>
      <w:r w:rsidRPr="008F3A1A">
        <w:rPr>
          <w:rFonts w:ascii="Garamond" w:hAnsi="Garamond"/>
          <w:lang w:val="en-GB"/>
        </w:rPr>
        <w:t xml:space="preserve"> </w:t>
      </w:r>
    </w:p>
    <w:p w14:paraId="61EED514" w14:textId="77777777" w:rsidR="008D4DEB" w:rsidRPr="008F3A1A" w:rsidRDefault="008D4DEB">
      <w:pPr>
        <w:pStyle w:val="Notedebasdepage"/>
        <w:numPr>
          <w:ilvl w:val="0"/>
          <w:numId w:val="8"/>
        </w:numPr>
        <w:spacing w:beforeLines="60" w:before="144" w:afterLines="60" w:after="144" w:line="360" w:lineRule="auto"/>
        <w:ind w:left="502"/>
        <w:jc w:val="both"/>
        <w:rPr>
          <w:rFonts w:ascii="Garamond" w:hAnsi="Garamond" w:cs="Times New Roman"/>
          <w:sz w:val="24"/>
          <w:szCs w:val="24"/>
          <w:lang w:val="en-GB"/>
        </w:rPr>
      </w:pPr>
      <w:r w:rsidRPr="008F3A1A">
        <w:rPr>
          <w:rFonts w:ascii="Garamond" w:hAnsi="Garamond"/>
          <w:sz w:val="24"/>
          <w:szCs w:val="24"/>
          <w:lang w:val="en-GB"/>
        </w:rPr>
        <w:t xml:space="preserve">To comply with the overriding obligation, the Respondent States must, </w:t>
      </w:r>
      <w:r w:rsidRPr="008F3A1A">
        <w:rPr>
          <w:rFonts w:ascii="Garamond" w:hAnsi="Garamond"/>
          <w:i/>
          <w:iCs/>
          <w:sz w:val="24"/>
          <w:szCs w:val="24"/>
          <w:lang w:val="en-GB"/>
        </w:rPr>
        <w:t>inter alia</w:t>
      </w:r>
      <w:r w:rsidRPr="008F3A1A">
        <w:rPr>
          <w:rFonts w:ascii="Garamond" w:hAnsi="Garamond"/>
          <w:sz w:val="24"/>
          <w:szCs w:val="24"/>
          <w:lang w:val="en-GB"/>
        </w:rPr>
        <w:t>:</w:t>
      </w:r>
    </w:p>
    <w:p w14:paraId="22713B02" w14:textId="77777777" w:rsidR="008D4DEB" w:rsidRPr="008F3A1A" w:rsidRDefault="008D4DEB">
      <w:pPr>
        <w:pStyle w:val="Notedebasdepage"/>
        <w:numPr>
          <w:ilvl w:val="1"/>
          <w:numId w:val="8"/>
        </w:numPr>
        <w:spacing w:beforeLines="60" w:before="144" w:afterLines="60" w:after="144" w:line="360" w:lineRule="auto"/>
        <w:ind w:left="786"/>
        <w:jc w:val="both"/>
        <w:rPr>
          <w:rFonts w:ascii="Garamond" w:hAnsi="Garamond" w:cs="Times New Roman"/>
          <w:sz w:val="24"/>
          <w:szCs w:val="24"/>
          <w:lang w:val="en-GB"/>
        </w:rPr>
      </w:pPr>
      <w:r w:rsidRPr="008F3A1A">
        <w:rPr>
          <w:rFonts w:ascii="Garamond" w:hAnsi="Garamond"/>
          <w:sz w:val="24"/>
          <w:szCs w:val="24"/>
          <w:lang w:val="en-GB"/>
        </w:rPr>
        <w:t>Take domestic mitigation measures to reduce their territorial emissions to a level collectively compatible with 1.5</w:t>
      </w:r>
      <w:r w:rsidRPr="008F3A1A">
        <w:rPr>
          <w:rFonts w:cs="Times New Roman"/>
          <w:sz w:val="24"/>
          <w:szCs w:val="24"/>
          <w:lang w:val="en-GB"/>
        </w:rPr>
        <w:t>℃</w:t>
      </w:r>
      <w:r w:rsidRPr="008F3A1A">
        <w:rPr>
          <w:rFonts w:ascii="Garamond" w:hAnsi="Garamond"/>
          <w:sz w:val="24"/>
          <w:szCs w:val="24"/>
          <w:lang w:val="en-GB"/>
        </w:rPr>
        <w:t xml:space="preserve"> in the sense that if all States took equally ambitious measures pursuant to their fair share of the global emissions reductions the LTTG of 1.5</w:t>
      </w:r>
      <w:r w:rsidRPr="008F3A1A">
        <w:rPr>
          <w:rFonts w:cs="Times New Roman"/>
          <w:sz w:val="24"/>
          <w:szCs w:val="24"/>
          <w:lang w:val="en-GB"/>
        </w:rPr>
        <w:t>℃</w:t>
      </w:r>
      <w:r w:rsidRPr="008F3A1A">
        <w:rPr>
          <w:rFonts w:ascii="Garamond" w:hAnsi="Garamond"/>
          <w:sz w:val="24"/>
          <w:szCs w:val="24"/>
          <w:lang w:val="en-GB"/>
        </w:rPr>
        <w:t xml:space="preserve"> would be achieved.</w:t>
      </w:r>
      <w:r w:rsidRPr="008F3A1A">
        <w:rPr>
          <w:rStyle w:val="Appelnotedebasdep"/>
          <w:rFonts w:ascii="Garamond" w:hAnsi="Garamond"/>
          <w:sz w:val="24"/>
          <w:szCs w:val="24"/>
          <w:lang w:val="en-GB"/>
        </w:rPr>
        <w:footnoteReference w:id="133"/>
      </w:r>
    </w:p>
    <w:p w14:paraId="6CF16DED" w14:textId="77777777" w:rsidR="008D4DEB" w:rsidRPr="008F3A1A" w:rsidRDefault="008D4DEB">
      <w:pPr>
        <w:pStyle w:val="Notedebasdepage"/>
        <w:numPr>
          <w:ilvl w:val="1"/>
          <w:numId w:val="8"/>
        </w:numPr>
        <w:spacing w:beforeLines="60" w:before="144" w:afterLines="60" w:after="144" w:line="360" w:lineRule="auto"/>
        <w:ind w:left="786"/>
        <w:jc w:val="both"/>
        <w:rPr>
          <w:rFonts w:ascii="Garamond" w:hAnsi="Garamond" w:cs="Times New Roman"/>
          <w:sz w:val="24"/>
          <w:szCs w:val="24"/>
          <w:lang w:val="en-GB"/>
        </w:rPr>
      </w:pPr>
      <w:r w:rsidRPr="008F3A1A">
        <w:rPr>
          <w:rFonts w:ascii="Garamond" w:hAnsi="Garamond"/>
          <w:sz w:val="24"/>
          <w:szCs w:val="24"/>
          <w:lang w:val="en-GB"/>
        </w:rPr>
        <w:t xml:space="preserve">As per </w:t>
      </w:r>
      <w:r w:rsidRPr="0076699B">
        <w:rPr>
          <w:rFonts w:ascii="Garamond" w:hAnsi="Garamond"/>
          <w:sz w:val="24"/>
          <w:szCs w:val="24"/>
          <w:lang w:val="en-GB"/>
        </w:rPr>
        <w:t xml:space="preserve">paragraph </w:t>
      </w:r>
      <w:r w:rsidRPr="00C86D0C">
        <w:rPr>
          <w:rFonts w:ascii="Garamond" w:hAnsi="Garamond"/>
          <w:sz w:val="24"/>
          <w:szCs w:val="24"/>
          <w:lang w:val="en-GB"/>
        </w:rPr>
        <w:t>7</w:t>
      </w:r>
      <w:r w:rsidRPr="008F3A1A">
        <w:rPr>
          <w:rFonts w:ascii="Garamond" w:hAnsi="Garamond"/>
          <w:sz w:val="24"/>
          <w:szCs w:val="24"/>
          <w:lang w:val="en-GB"/>
        </w:rPr>
        <w:t xml:space="preserve"> of the Application, limit the production and use of fossil fuels within their territories by, </w:t>
      </w:r>
      <w:r w:rsidRPr="008F3A1A">
        <w:rPr>
          <w:rFonts w:ascii="Garamond" w:hAnsi="Garamond"/>
          <w:i/>
          <w:iCs/>
          <w:sz w:val="24"/>
          <w:szCs w:val="24"/>
          <w:lang w:val="en-GB"/>
        </w:rPr>
        <w:t>inter alia</w:t>
      </w:r>
      <w:r w:rsidRPr="008F3A1A">
        <w:rPr>
          <w:rFonts w:ascii="Garamond" w:hAnsi="Garamond"/>
          <w:sz w:val="24"/>
          <w:szCs w:val="24"/>
          <w:lang w:val="en-GB"/>
        </w:rPr>
        <w:t>:</w:t>
      </w:r>
    </w:p>
    <w:p w14:paraId="051311C4" w14:textId="77777777" w:rsidR="008D4DEB" w:rsidRPr="008F3A1A" w:rsidRDefault="008D4DEB">
      <w:pPr>
        <w:pStyle w:val="Notedebasdepage"/>
        <w:numPr>
          <w:ilvl w:val="2"/>
          <w:numId w:val="8"/>
        </w:numPr>
        <w:spacing w:beforeLines="60" w:before="144" w:afterLines="60" w:after="144" w:line="360" w:lineRule="auto"/>
        <w:ind w:left="1031"/>
        <w:jc w:val="both"/>
        <w:rPr>
          <w:rFonts w:ascii="Garamond" w:hAnsi="Garamond" w:cs="Times New Roman"/>
          <w:sz w:val="24"/>
          <w:szCs w:val="24"/>
          <w:lang w:val="en-GB"/>
        </w:rPr>
      </w:pPr>
      <w:r w:rsidRPr="008F3A1A">
        <w:rPr>
          <w:rFonts w:ascii="Garamond" w:hAnsi="Garamond"/>
          <w:sz w:val="24"/>
          <w:szCs w:val="24"/>
          <w:lang w:val="en-GB"/>
        </w:rPr>
        <w:t>Reducing the extraction of fossil fuels within their territory at a rate consistent with achieving the LTTG of 1.5°C. The Applicant rel</w:t>
      </w:r>
      <w:r>
        <w:rPr>
          <w:rFonts w:ascii="Garamond" w:hAnsi="Garamond"/>
          <w:sz w:val="24"/>
          <w:szCs w:val="24"/>
          <w:lang w:val="en-GB"/>
        </w:rPr>
        <w:t>ies</w:t>
      </w:r>
      <w:r w:rsidRPr="008F3A1A">
        <w:rPr>
          <w:rFonts w:ascii="Garamond" w:hAnsi="Garamond"/>
          <w:sz w:val="24"/>
          <w:szCs w:val="24"/>
          <w:lang w:val="en-GB"/>
        </w:rPr>
        <w:t xml:space="preserve"> upon the UNEP’s 2021 Production Gap Report, which envisages reductions on 2020 levels by 2030 of 69% in coal production, 34% in oil production, and 26% in gas production as providing minimum thresholds for compliance; and </w:t>
      </w:r>
    </w:p>
    <w:p w14:paraId="479D38A3" w14:textId="77777777" w:rsidR="008D4DEB" w:rsidRPr="008F3A1A" w:rsidRDefault="008D4DEB">
      <w:pPr>
        <w:pStyle w:val="Notedebasdepage"/>
        <w:numPr>
          <w:ilvl w:val="2"/>
          <w:numId w:val="8"/>
        </w:numPr>
        <w:spacing w:beforeLines="60" w:before="144" w:afterLines="60" w:after="144" w:line="360" w:lineRule="auto"/>
        <w:ind w:left="1031"/>
        <w:jc w:val="both"/>
        <w:rPr>
          <w:rFonts w:ascii="Garamond" w:hAnsi="Garamond" w:cs="Times New Roman"/>
          <w:sz w:val="24"/>
          <w:szCs w:val="24"/>
          <w:lang w:val="en-GB"/>
        </w:rPr>
      </w:pPr>
      <w:r w:rsidRPr="008F3A1A">
        <w:rPr>
          <w:rFonts w:ascii="Garamond" w:hAnsi="Garamond"/>
          <w:sz w:val="24"/>
          <w:szCs w:val="24"/>
          <w:lang w:val="en-GB"/>
        </w:rPr>
        <w:t>Decommissioning and reduc</w:t>
      </w:r>
      <w:r>
        <w:rPr>
          <w:rFonts w:ascii="Garamond" w:hAnsi="Garamond"/>
          <w:sz w:val="24"/>
          <w:szCs w:val="24"/>
          <w:lang w:val="en-GB"/>
        </w:rPr>
        <w:t>ing</w:t>
      </w:r>
      <w:r w:rsidRPr="008F3A1A">
        <w:rPr>
          <w:rFonts w:ascii="Garamond" w:hAnsi="Garamond"/>
          <w:sz w:val="24"/>
          <w:szCs w:val="24"/>
          <w:lang w:val="en-GB"/>
        </w:rPr>
        <w:t xml:space="preserve"> utilisation of existing fossil fuel installations in the power sector as well as cancelling new installations to align future emissions from the power sector with projections in the LTTG pathways; and</w:t>
      </w:r>
    </w:p>
    <w:p w14:paraId="75929409" w14:textId="77777777" w:rsidR="008D4DEB" w:rsidRPr="00F637D5" w:rsidRDefault="008D4DEB">
      <w:pPr>
        <w:pStyle w:val="Notedebasdepage"/>
        <w:numPr>
          <w:ilvl w:val="2"/>
          <w:numId w:val="8"/>
        </w:numPr>
        <w:spacing w:beforeLines="60" w:before="144" w:afterLines="60" w:after="144" w:line="360" w:lineRule="auto"/>
        <w:ind w:left="1031"/>
        <w:jc w:val="both"/>
        <w:rPr>
          <w:rFonts w:ascii="Garamond" w:hAnsi="Garamond" w:cs="Times New Roman"/>
          <w:sz w:val="24"/>
          <w:szCs w:val="24"/>
          <w:lang w:val="en-GB"/>
        </w:rPr>
      </w:pPr>
      <w:r w:rsidRPr="008F3A1A">
        <w:rPr>
          <w:rFonts w:ascii="Garamond" w:hAnsi="Garamond"/>
          <w:sz w:val="24"/>
          <w:szCs w:val="24"/>
          <w:lang w:val="en-GB"/>
        </w:rPr>
        <w:t>At the very least, not opening, approving, licensing, permitting, investing in and/or planning new coal mines or extensions to coal mines, oil fields, and gas fields beyond those committed to as of 2021.</w:t>
      </w:r>
    </w:p>
    <w:p w14:paraId="134620C6" w14:textId="77777777" w:rsidR="008D4DEB" w:rsidRPr="008F3A1A" w:rsidRDefault="008D4DEB">
      <w:pPr>
        <w:pStyle w:val="Notedebasdepage"/>
        <w:numPr>
          <w:ilvl w:val="0"/>
          <w:numId w:val="8"/>
        </w:numPr>
        <w:spacing w:beforeLines="60" w:before="144" w:afterLines="60" w:after="144" w:line="360" w:lineRule="auto"/>
        <w:ind w:left="502"/>
        <w:jc w:val="both"/>
        <w:rPr>
          <w:rFonts w:ascii="Garamond" w:hAnsi="Garamond" w:cs="Times New Roman"/>
          <w:sz w:val="24"/>
          <w:szCs w:val="24"/>
          <w:lang w:val="en-GB"/>
        </w:rPr>
      </w:pPr>
      <w:r w:rsidRPr="008F3A1A">
        <w:rPr>
          <w:rFonts w:ascii="Garamond" w:hAnsi="Garamond"/>
          <w:sz w:val="24"/>
          <w:szCs w:val="24"/>
          <w:lang w:val="en-GB"/>
        </w:rPr>
        <w:t xml:space="preserve">The above duties are anchored in the premise that the Respondent States must take reasonable steps to urgently regulate and limit emissions in a manner consistent with the </w:t>
      </w:r>
      <w:r w:rsidRPr="00164595">
        <w:rPr>
          <w:rFonts w:ascii="Garamond" w:hAnsi="Garamond"/>
          <w:sz w:val="24"/>
          <w:szCs w:val="24"/>
          <w:lang w:val="en-GB"/>
        </w:rPr>
        <w:t xml:space="preserve">LTTG of 1.5°C. The actions outlined above are rooted in the </w:t>
      </w:r>
      <w:r>
        <w:rPr>
          <w:rFonts w:ascii="Garamond" w:hAnsi="Garamond"/>
          <w:sz w:val="24"/>
          <w:szCs w:val="24"/>
          <w:lang w:val="en-GB"/>
        </w:rPr>
        <w:t>best available</w:t>
      </w:r>
      <w:r w:rsidRPr="00164595">
        <w:rPr>
          <w:rFonts w:ascii="Garamond" w:hAnsi="Garamond"/>
          <w:sz w:val="24"/>
          <w:szCs w:val="24"/>
          <w:lang w:val="en-GB"/>
        </w:rPr>
        <w:t xml:space="preserve"> science,</w:t>
      </w:r>
      <w:r w:rsidRPr="008F3A1A">
        <w:rPr>
          <w:rFonts w:ascii="Garamond" w:hAnsi="Garamond"/>
          <w:sz w:val="24"/>
          <w:szCs w:val="24"/>
          <w:lang w:val="en-GB"/>
        </w:rPr>
        <w:t xml:space="preserve"> represent the minimum steps required by the Respondent States to comply with the overriding obligation, and are necessary to ensure the practical and effective protection of the Applicant’</w:t>
      </w:r>
      <w:r>
        <w:rPr>
          <w:rFonts w:ascii="Garamond" w:hAnsi="Garamond"/>
          <w:sz w:val="24"/>
          <w:szCs w:val="24"/>
          <w:lang w:val="en-GB"/>
        </w:rPr>
        <w:t>s</w:t>
      </w:r>
      <w:r w:rsidRPr="008F3A1A">
        <w:rPr>
          <w:rFonts w:ascii="Garamond" w:hAnsi="Garamond"/>
          <w:sz w:val="24"/>
          <w:szCs w:val="24"/>
          <w:lang w:val="en-GB"/>
        </w:rPr>
        <w:t xml:space="preserve"> rights.</w:t>
      </w:r>
    </w:p>
    <w:p w14:paraId="0463F704" w14:textId="77777777" w:rsidR="008D4DEB" w:rsidRPr="008F3A1A" w:rsidRDefault="008D4DEB">
      <w:pPr>
        <w:pStyle w:val="Notedebasdepage"/>
        <w:numPr>
          <w:ilvl w:val="0"/>
          <w:numId w:val="8"/>
        </w:numPr>
        <w:spacing w:beforeLines="60" w:before="144" w:afterLines="60" w:after="144" w:line="360" w:lineRule="auto"/>
        <w:ind w:left="502"/>
        <w:jc w:val="both"/>
        <w:rPr>
          <w:rFonts w:ascii="Garamond" w:hAnsi="Garamond" w:cs="Times New Roman"/>
          <w:sz w:val="24"/>
          <w:szCs w:val="24"/>
          <w:lang w:val="en-GB"/>
        </w:rPr>
      </w:pPr>
      <w:r w:rsidRPr="008F3A1A">
        <w:rPr>
          <w:rFonts w:ascii="Garamond" w:hAnsi="Garamond"/>
          <w:sz w:val="24"/>
          <w:szCs w:val="24"/>
          <w:lang w:val="en-GB"/>
        </w:rPr>
        <w:lastRenderedPageBreak/>
        <w:t>A failure to take the steps outlined would result in the Respondent States exceeding their margins of appreciation or discretion under Articles 2 and 8. This submission is supported by: (i) the fundamentality of the interests protected under Article 2; (ii) the severity of the interference with the Applicant’</w:t>
      </w:r>
      <w:r>
        <w:rPr>
          <w:rFonts w:ascii="Garamond" w:hAnsi="Garamond"/>
          <w:sz w:val="24"/>
          <w:szCs w:val="24"/>
          <w:lang w:val="en-GB"/>
        </w:rPr>
        <w:t>s</w:t>
      </w:r>
      <w:r w:rsidRPr="008F3A1A">
        <w:rPr>
          <w:rFonts w:ascii="Garamond" w:hAnsi="Garamond"/>
          <w:sz w:val="24"/>
          <w:szCs w:val="24"/>
          <w:lang w:val="en-GB"/>
        </w:rPr>
        <w:t xml:space="preserve"> rights if the LTTG of 1.5</w:t>
      </w:r>
      <w:r w:rsidRPr="008F3A1A">
        <w:rPr>
          <w:rFonts w:cs="Times New Roman"/>
          <w:sz w:val="24"/>
          <w:szCs w:val="24"/>
          <w:lang w:val="en-GB"/>
        </w:rPr>
        <w:t>℃</w:t>
      </w:r>
      <w:r w:rsidRPr="008F3A1A">
        <w:rPr>
          <w:rFonts w:ascii="Garamond" w:hAnsi="Garamond"/>
          <w:sz w:val="24"/>
          <w:szCs w:val="24"/>
          <w:lang w:val="en-GB"/>
        </w:rPr>
        <w:t xml:space="preserve"> is surpassed;</w:t>
      </w:r>
      <w:r w:rsidRPr="008F3A1A">
        <w:rPr>
          <w:rStyle w:val="Appelnotedebasdep"/>
          <w:rFonts w:ascii="Garamond" w:hAnsi="Garamond"/>
          <w:sz w:val="24"/>
          <w:szCs w:val="24"/>
          <w:lang w:val="en-GB"/>
        </w:rPr>
        <w:footnoteReference w:id="134"/>
      </w:r>
      <w:r w:rsidRPr="008F3A1A">
        <w:rPr>
          <w:rFonts w:ascii="Garamond" w:hAnsi="Garamond"/>
          <w:sz w:val="24"/>
          <w:szCs w:val="24"/>
          <w:lang w:val="en-GB"/>
        </w:rPr>
        <w:t xml:space="preserve"> (iii) </w:t>
      </w:r>
      <w:r w:rsidRPr="00036B20">
        <w:rPr>
          <w:rFonts w:ascii="Garamond" w:hAnsi="Garamond"/>
          <w:sz w:val="24"/>
          <w:szCs w:val="24"/>
          <w:lang w:val="en-GB"/>
        </w:rPr>
        <w:t>the vulnerability of the Applicant</w:t>
      </w:r>
      <w:r w:rsidRPr="008F3A1A">
        <w:rPr>
          <w:rFonts w:ascii="Garamond" w:hAnsi="Garamond"/>
          <w:sz w:val="24"/>
          <w:szCs w:val="24"/>
          <w:lang w:val="en-GB"/>
        </w:rPr>
        <w:t>;</w:t>
      </w:r>
      <w:r w:rsidRPr="008F3A1A">
        <w:rPr>
          <w:rStyle w:val="Appelnotedebasdep"/>
          <w:rFonts w:ascii="Garamond" w:hAnsi="Garamond"/>
          <w:sz w:val="24"/>
          <w:szCs w:val="24"/>
          <w:lang w:val="en-GB"/>
        </w:rPr>
        <w:footnoteReference w:id="135"/>
      </w:r>
      <w:r w:rsidRPr="008F3A1A">
        <w:rPr>
          <w:rFonts w:ascii="Garamond" w:hAnsi="Garamond"/>
          <w:sz w:val="24"/>
          <w:szCs w:val="24"/>
          <w:lang w:val="en-GB"/>
        </w:rPr>
        <w:t xml:space="preserve"> (i</w:t>
      </w:r>
      <w:r>
        <w:rPr>
          <w:rFonts w:ascii="Garamond" w:hAnsi="Garamond"/>
          <w:sz w:val="24"/>
          <w:szCs w:val="24"/>
          <w:lang w:val="en-GB"/>
        </w:rPr>
        <w:t>v</w:t>
      </w:r>
      <w:r w:rsidRPr="008F3A1A">
        <w:rPr>
          <w:rFonts w:ascii="Garamond" w:hAnsi="Garamond"/>
          <w:sz w:val="24"/>
          <w:szCs w:val="24"/>
          <w:lang w:val="en-GB"/>
        </w:rPr>
        <w:t>) the weakness of the competing interests properly appreciated;</w:t>
      </w:r>
      <w:r w:rsidRPr="008F3A1A">
        <w:rPr>
          <w:rStyle w:val="Appelnotedebasdep"/>
          <w:rFonts w:ascii="Garamond" w:hAnsi="Garamond"/>
          <w:sz w:val="24"/>
          <w:szCs w:val="24"/>
          <w:lang w:val="en-GB"/>
        </w:rPr>
        <w:footnoteReference w:id="136"/>
      </w:r>
      <w:r w:rsidRPr="008F3A1A">
        <w:rPr>
          <w:rFonts w:ascii="Garamond" w:hAnsi="Garamond"/>
          <w:sz w:val="24"/>
          <w:szCs w:val="24"/>
          <w:lang w:val="en-GB"/>
        </w:rPr>
        <w:t xml:space="preserve"> (v) the foreseeability and the Respondent States’ longstanding knowledge of the occurrence and impacts of climate change;</w:t>
      </w:r>
      <w:r w:rsidRPr="008F3A1A">
        <w:rPr>
          <w:rStyle w:val="Appelnotedebasdep"/>
          <w:rFonts w:ascii="Garamond" w:hAnsi="Garamond"/>
          <w:sz w:val="24"/>
          <w:szCs w:val="24"/>
          <w:lang w:val="en-GB"/>
        </w:rPr>
        <w:footnoteReference w:id="137"/>
      </w:r>
      <w:r w:rsidRPr="008F3A1A">
        <w:rPr>
          <w:rFonts w:ascii="Garamond" w:hAnsi="Garamond"/>
          <w:sz w:val="24"/>
          <w:szCs w:val="24"/>
          <w:lang w:val="en-GB"/>
        </w:rPr>
        <w:t xml:space="preserve"> and (v</w:t>
      </w:r>
      <w:r>
        <w:rPr>
          <w:rFonts w:ascii="Garamond" w:hAnsi="Garamond"/>
          <w:sz w:val="24"/>
          <w:szCs w:val="24"/>
          <w:lang w:val="en-GB"/>
        </w:rPr>
        <w:t>i</w:t>
      </w:r>
      <w:r w:rsidRPr="008F3A1A">
        <w:rPr>
          <w:rFonts w:ascii="Garamond" w:hAnsi="Garamond"/>
          <w:sz w:val="24"/>
          <w:szCs w:val="24"/>
          <w:lang w:val="en-GB"/>
        </w:rPr>
        <w:t>) the international consensus surrounding the LTTG of 1.5</w:t>
      </w:r>
      <w:r w:rsidRPr="008F3A1A">
        <w:rPr>
          <w:rFonts w:cs="Times New Roman"/>
          <w:sz w:val="24"/>
          <w:szCs w:val="24"/>
          <w:lang w:val="en-GB"/>
        </w:rPr>
        <w:t>℃</w:t>
      </w:r>
      <w:r w:rsidRPr="008F3A1A">
        <w:rPr>
          <w:rFonts w:ascii="Garamond" w:hAnsi="Garamond"/>
          <w:sz w:val="24"/>
          <w:szCs w:val="24"/>
          <w:lang w:val="en-GB"/>
        </w:rPr>
        <w:t>.</w:t>
      </w:r>
      <w:r w:rsidRPr="008F3A1A">
        <w:rPr>
          <w:rStyle w:val="Appelnotedebasdep"/>
          <w:rFonts w:ascii="Garamond" w:hAnsi="Garamond"/>
          <w:sz w:val="24"/>
          <w:szCs w:val="24"/>
          <w:lang w:val="en-GB"/>
        </w:rPr>
        <w:footnoteReference w:id="138"/>
      </w:r>
    </w:p>
    <w:p w14:paraId="0A0818F1" w14:textId="77777777" w:rsidR="008D4DEB" w:rsidRPr="008F3A1A" w:rsidRDefault="008D4DEB">
      <w:pPr>
        <w:pStyle w:val="Notedebasdepage"/>
        <w:numPr>
          <w:ilvl w:val="0"/>
          <w:numId w:val="8"/>
        </w:numPr>
        <w:spacing w:beforeLines="60" w:before="144" w:afterLines="60" w:after="144" w:line="360" w:lineRule="auto"/>
        <w:ind w:left="502"/>
        <w:jc w:val="both"/>
        <w:rPr>
          <w:rFonts w:ascii="Garamond" w:hAnsi="Garamond" w:cs="Times New Roman"/>
          <w:sz w:val="24"/>
          <w:szCs w:val="24"/>
          <w:lang w:val="en-GB"/>
        </w:rPr>
      </w:pPr>
      <w:r w:rsidRPr="008F3A1A">
        <w:rPr>
          <w:rFonts w:ascii="Garamond" w:hAnsi="Garamond"/>
          <w:sz w:val="24"/>
          <w:szCs w:val="24"/>
          <w:lang w:val="en-GB"/>
        </w:rPr>
        <w:t>The Respondent States’ continued membership of the ECT, compliance with its provisions and/or failure to negotiate sufficient amendments thereof (or to take any other measure to remove the impediments caused by the ECT on the energy transition), are incompatible with the fulfilment of the overriding obligation to urgently regulate and limit emissions in a manner that is consistent with the LTTG of 1.5</w:t>
      </w:r>
      <w:r w:rsidRPr="008F3A1A">
        <w:rPr>
          <w:rFonts w:cs="Times New Roman"/>
          <w:sz w:val="24"/>
          <w:szCs w:val="24"/>
          <w:lang w:val="en-GB"/>
        </w:rPr>
        <w:t>℃</w:t>
      </w:r>
      <w:r w:rsidRPr="008F3A1A">
        <w:rPr>
          <w:rFonts w:ascii="Garamond" w:hAnsi="Garamond"/>
          <w:sz w:val="24"/>
          <w:szCs w:val="24"/>
          <w:lang w:val="en-GB"/>
        </w:rPr>
        <w:t>, and constitute breaches of Articles 2 and 8 of the Convention.</w:t>
      </w:r>
    </w:p>
    <w:p w14:paraId="73B189C6" w14:textId="77777777" w:rsidR="008D4DEB" w:rsidRPr="008F3A1A" w:rsidRDefault="008D4DEB">
      <w:pPr>
        <w:pStyle w:val="Notedebasdepage"/>
        <w:numPr>
          <w:ilvl w:val="0"/>
          <w:numId w:val="8"/>
        </w:numPr>
        <w:spacing w:beforeLines="60" w:before="144" w:afterLines="60" w:after="144" w:line="360" w:lineRule="auto"/>
        <w:ind w:left="502"/>
        <w:jc w:val="both"/>
        <w:rPr>
          <w:rFonts w:ascii="Garamond" w:hAnsi="Garamond" w:cs="Times New Roman"/>
          <w:sz w:val="24"/>
          <w:szCs w:val="24"/>
          <w:lang w:val="en-GB"/>
        </w:rPr>
      </w:pPr>
      <w:r w:rsidRPr="008F3A1A">
        <w:rPr>
          <w:rFonts w:ascii="Garamond" w:hAnsi="Garamond"/>
          <w:sz w:val="24"/>
          <w:szCs w:val="24"/>
          <w:lang w:val="en-GB"/>
        </w:rPr>
        <w:t>Incompatibility of the ECT, in its current form, with the Convention arises from the protections it affords to fossil fuel investments and infrastructure from State interference and the corresponding risk of “</w:t>
      </w:r>
      <w:r w:rsidRPr="008F3A1A">
        <w:rPr>
          <w:rFonts w:ascii="Garamond" w:hAnsi="Garamond"/>
          <w:i/>
          <w:iCs/>
          <w:sz w:val="24"/>
          <w:szCs w:val="24"/>
          <w:lang w:val="en-GB"/>
        </w:rPr>
        <w:t>carbon lock-in”</w:t>
      </w:r>
      <w:r w:rsidRPr="008F3A1A">
        <w:rPr>
          <w:rFonts w:ascii="Garamond" w:hAnsi="Garamond"/>
          <w:sz w:val="24"/>
          <w:szCs w:val="24"/>
          <w:lang w:val="en-GB"/>
        </w:rPr>
        <w:t>. Such protections will impede the Respondent States from complying with the overriding obligation in a number of ways:</w:t>
      </w:r>
    </w:p>
    <w:p w14:paraId="7CFF61EB" w14:textId="77777777" w:rsidR="008D4DEB" w:rsidRPr="008F3A1A" w:rsidRDefault="008D4DEB">
      <w:pPr>
        <w:pStyle w:val="Notedebasdepage"/>
        <w:numPr>
          <w:ilvl w:val="1"/>
          <w:numId w:val="8"/>
        </w:numPr>
        <w:spacing w:beforeLines="60" w:before="144" w:afterLines="60" w:after="144" w:line="360" w:lineRule="auto"/>
        <w:ind w:left="786"/>
        <w:jc w:val="both"/>
        <w:rPr>
          <w:rFonts w:ascii="Garamond" w:hAnsi="Garamond" w:cs="Times New Roman"/>
          <w:sz w:val="24"/>
          <w:szCs w:val="24"/>
          <w:lang w:val="en-GB"/>
        </w:rPr>
      </w:pPr>
      <w:r w:rsidRPr="008F3A1A">
        <w:rPr>
          <w:rFonts w:ascii="Garamond" w:hAnsi="Garamond"/>
          <w:sz w:val="24"/>
          <w:szCs w:val="24"/>
          <w:lang w:val="en-GB"/>
        </w:rPr>
        <w:t>With regard to territorial emissions, the duty to undertake domestic mitigation measures as per paragraph</w:t>
      </w:r>
      <w:r>
        <w:rPr>
          <w:rFonts w:ascii="Garamond" w:hAnsi="Garamond"/>
          <w:sz w:val="24"/>
          <w:szCs w:val="24"/>
          <w:lang w:val="en-GB"/>
        </w:rPr>
        <w:t xml:space="preserve"> 45(a) </w:t>
      </w:r>
      <w:r w:rsidRPr="008F3A1A">
        <w:rPr>
          <w:rFonts w:ascii="Garamond" w:hAnsi="Garamond"/>
          <w:sz w:val="24"/>
          <w:szCs w:val="24"/>
          <w:lang w:val="en-GB"/>
        </w:rPr>
        <w:t>will require the Respondent States to undergo a rapid energy transition away from the combustion of fossil fuels to low-carbon sources of energy. This transition will be delayed or will expose the Respondent States to extensive litigation and liability under the ISDS mechanism where the ECT protects coal-fired or other fossil fuel-based power generation assets in a Respondent State. This has been demonstrated by the ECT claims brought by RWE and Uniper against the Netherlands in relation to its plans to phase out coal-fired generation by 2030 (see paragraph</w:t>
      </w:r>
      <w:r>
        <w:rPr>
          <w:rFonts w:ascii="Garamond" w:hAnsi="Garamond"/>
          <w:sz w:val="24"/>
          <w:szCs w:val="24"/>
          <w:lang w:val="en-GB"/>
        </w:rPr>
        <w:t xml:space="preserve"> 13 </w:t>
      </w:r>
      <w:r w:rsidRPr="008F3A1A">
        <w:rPr>
          <w:rFonts w:ascii="Garamond" w:hAnsi="Garamond"/>
          <w:sz w:val="24"/>
          <w:szCs w:val="24"/>
          <w:lang w:val="en-GB"/>
        </w:rPr>
        <w:t xml:space="preserve">of the Application). </w:t>
      </w:r>
    </w:p>
    <w:p w14:paraId="6C5C7146" w14:textId="77777777" w:rsidR="008D4DEB" w:rsidRPr="008F3A1A" w:rsidRDefault="008D4DEB">
      <w:pPr>
        <w:pStyle w:val="Notedebasdepage"/>
        <w:numPr>
          <w:ilvl w:val="1"/>
          <w:numId w:val="8"/>
        </w:numPr>
        <w:spacing w:beforeLines="60" w:before="144" w:afterLines="60" w:after="144" w:line="360" w:lineRule="auto"/>
        <w:ind w:left="786"/>
        <w:jc w:val="both"/>
        <w:rPr>
          <w:rFonts w:ascii="Garamond" w:hAnsi="Garamond" w:cs="Times New Roman"/>
          <w:sz w:val="24"/>
          <w:szCs w:val="24"/>
          <w:lang w:val="en-GB"/>
        </w:rPr>
      </w:pPr>
      <w:r w:rsidRPr="008F3A1A">
        <w:rPr>
          <w:rFonts w:ascii="Garamond" w:hAnsi="Garamond"/>
          <w:sz w:val="24"/>
          <w:szCs w:val="24"/>
          <w:lang w:val="en-GB"/>
        </w:rPr>
        <w:t xml:space="preserve">The duty to reduce extraction of fossil fuels as </w:t>
      </w:r>
      <w:r w:rsidRPr="004F23B4">
        <w:rPr>
          <w:rFonts w:ascii="Garamond" w:hAnsi="Garamond"/>
          <w:sz w:val="24"/>
          <w:szCs w:val="24"/>
          <w:lang w:val="en-GB"/>
        </w:rPr>
        <w:t>per paragraph 45(b)(i) will</w:t>
      </w:r>
      <w:r w:rsidRPr="008F3A1A">
        <w:rPr>
          <w:rFonts w:ascii="Garamond" w:hAnsi="Garamond"/>
          <w:sz w:val="24"/>
          <w:szCs w:val="24"/>
          <w:lang w:val="en-GB"/>
        </w:rPr>
        <w:t xml:space="preserve"> conflict with and be impeded by the ECT where it protects fossil fuel reserves which have been invested in with a view to long-term production. This has been demonstrated by Vermilion’s threat of ECT </w:t>
      </w:r>
      <w:r w:rsidRPr="008F3A1A">
        <w:rPr>
          <w:rFonts w:ascii="Garamond" w:hAnsi="Garamond"/>
          <w:sz w:val="24"/>
          <w:szCs w:val="24"/>
          <w:lang w:val="en-GB"/>
        </w:rPr>
        <w:lastRenderedPageBreak/>
        <w:t>arbitration against France owing to its plans to phase out fossil fuel extraction by 2040 (</w:t>
      </w:r>
      <w:r>
        <w:rPr>
          <w:rFonts w:ascii="Garamond" w:hAnsi="Garamond"/>
          <w:sz w:val="24"/>
          <w:szCs w:val="24"/>
          <w:lang w:val="en-GB"/>
        </w:rPr>
        <w:t>Summary Note on Regulatory Chill</w:t>
      </w:r>
      <w:r w:rsidRPr="008F3A1A">
        <w:rPr>
          <w:rFonts w:ascii="Garamond" w:hAnsi="Garamond"/>
          <w:sz w:val="24"/>
          <w:szCs w:val="24"/>
          <w:lang w:val="en-GB"/>
        </w:rPr>
        <w:t>).</w:t>
      </w:r>
    </w:p>
    <w:p w14:paraId="317282D7" w14:textId="77777777" w:rsidR="008D4DEB" w:rsidRPr="00F637D5" w:rsidRDefault="008D4DEB">
      <w:pPr>
        <w:pStyle w:val="Notedebasdepage"/>
        <w:numPr>
          <w:ilvl w:val="1"/>
          <w:numId w:val="8"/>
        </w:numPr>
        <w:spacing w:beforeLines="60" w:before="144" w:afterLines="60" w:after="144" w:line="360" w:lineRule="auto"/>
        <w:ind w:left="786"/>
        <w:jc w:val="both"/>
        <w:rPr>
          <w:rFonts w:ascii="Garamond" w:hAnsi="Garamond" w:cs="Times New Roman"/>
          <w:sz w:val="24"/>
          <w:szCs w:val="24"/>
          <w:lang w:val="en-GB"/>
        </w:rPr>
      </w:pPr>
      <w:r w:rsidRPr="008F3A1A">
        <w:rPr>
          <w:rFonts w:ascii="Garamond" w:hAnsi="Garamond"/>
          <w:sz w:val="24"/>
          <w:szCs w:val="24"/>
          <w:lang w:val="en-GB"/>
        </w:rPr>
        <w:t xml:space="preserve">With regard to the production of fossil fuels, the duty to not open new coal mines, oil fields or gas fields will conflict with and be impeded by the ECT where it protects investments in fossil fuel exploration and/or the prospective fields where such fields had not been </w:t>
      </w:r>
      <w:r w:rsidRPr="008F3A1A">
        <w:rPr>
          <w:rFonts w:ascii="Garamond" w:hAnsi="Garamond"/>
          <w:i/>
          <w:iCs/>
          <w:sz w:val="24"/>
          <w:szCs w:val="24"/>
          <w:lang w:val="en-GB"/>
        </w:rPr>
        <w:t xml:space="preserve">finally </w:t>
      </w:r>
      <w:r w:rsidRPr="008F3A1A">
        <w:rPr>
          <w:rFonts w:ascii="Garamond" w:hAnsi="Garamond"/>
          <w:sz w:val="24"/>
          <w:szCs w:val="24"/>
          <w:lang w:val="en-GB"/>
        </w:rPr>
        <w:t>approved or opened by the Respondent State as of 2021. This risk has been demonstrated by the ISDS proceedings brought by Rockhopper against Italy (see paragraph</w:t>
      </w:r>
      <w:r>
        <w:rPr>
          <w:rFonts w:ascii="Garamond" w:hAnsi="Garamond"/>
          <w:sz w:val="24"/>
          <w:szCs w:val="24"/>
          <w:lang w:val="en-GB"/>
        </w:rPr>
        <w:t xml:space="preserve"> 13 </w:t>
      </w:r>
      <w:r w:rsidRPr="008F3A1A">
        <w:rPr>
          <w:rFonts w:ascii="Garamond" w:hAnsi="Garamond"/>
          <w:sz w:val="24"/>
          <w:szCs w:val="24"/>
          <w:lang w:val="en-GB"/>
        </w:rPr>
        <w:t>of the Application).</w:t>
      </w:r>
    </w:p>
    <w:p w14:paraId="1112480D" w14:textId="77777777" w:rsidR="008D4DEB" w:rsidRPr="008F3A1A" w:rsidRDefault="008D4DEB">
      <w:pPr>
        <w:pStyle w:val="Notedebasdepage"/>
        <w:numPr>
          <w:ilvl w:val="0"/>
          <w:numId w:val="8"/>
        </w:numPr>
        <w:spacing w:beforeLines="60" w:before="144" w:afterLines="60" w:after="144" w:line="360" w:lineRule="auto"/>
        <w:ind w:left="502"/>
        <w:jc w:val="both"/>
        <w:rPr>
          <w:rFonts w:ascii="Garamond" w:hAnsi="Garamond" w:cs="Times New Roman"/>
          <w:sz w:val="24"/>
          <w:szCs w:val="24"/>
          <w:lang w:val="en-GB"/>
        </w:rPr>
      </w:pPr>
      <w:r w:rsidRPr="008F3A1A">
        <w:rPr>
          <w:rFonts w:ascii="Garamond" w:hAnsi="Garamond"/>
          <w:sz w:val="24"/>
          <w:szCs w:val="24"/>
          <w:lang w:val="en-GB"/>
        </w:rPr>
        <w:t xml:space="preserve">Even prior to litigation, the investment protections in the ECT and the threat of litigation thereunder imposes a constraint on the Respondent States’ </w:t>
      </w:r>
      <w:r>
        <w:rPr>
          <w:rFonts w:ascii="Garamond" w:hAnsi="Garamond"/>
          <w:sz w:val="24"/>
          <w:szCs w:val="24"/>
          <w:lang w:val="en-GB"/>
        </w:rPr>
        <w:t>(</w:t>
      </w:r>
      <w:r w:rsidRPr="008033C8">
        <w:rPr>
          <w:rFonts w:ascii="Garamond" w:hAnsi="Garamond"/>
          <w:sz w:val="24"/>
          <w:szCs w:val="24"/>
          <w:lang w:val="en-GB"/>
        </w:rPr>
        <w:t>and other ECT Contracting States’)</w:t>
      </w:r>
      <w:r>
        <w:rPr>
          <w:rFonts w:ascii="Garamond" w:hAnsi="Garamond"/>
          <w:sz w:val="24"/>
          <w:szCs w:val="24"/>
          <w:lang w:val="en-GB"/>
        </w:rPr>
        <w:t xml:space="preserve"> </w:t>
      </w:r>
      <w:r w:rsidRPr="008F3A1A">
        <w:rPr>
          <w:rFonts w:ascii="Garamond" w:hAnsi="Garamond"/>
          <w:sz w:val="24"/>
          <w:szCs w:val="24"/>
          <w:lang w:val="en-GB"/>
        </w:rPr>
        <w:t xml:space="preserve">ability and/or willingness to reduce their territorial emissions and limit the extraction of fossil fuels in their territories in accordance with the overriding obligation. This regulatory chilling effect has already been demonstrated in practice by the examples of authorities in </w:t>
      </w:r>
      <w:r w:rsidRPr="00443D80">
        <w:rPr>
          <w:rFonts w:ascii="Garamond" w:hAnsi="Garamond"/>
          <w:sz w:val="24"/>
          <w:szCs w:val="24"/>
          <w:lang w:val="en-GB"/>
        </w:rPr>
        <w:t>Denmark, the Netherlands, Germany and France diluting ambitions to phase</w:t>
      </w:r>
      <w:r w:rsidRPr="008F3A1A">
        <w:rPr>
          <w:rFonts w:ascii="Garamond" w:hAnsi="Garamond"/>
          <w:sz w:val="24"/>
          <w:szCs w:val="24"/>
          <w:lang w:val="en-GB"/>
        </w:rPr>
        <w:t xml:space="preserve"> out fossil fuel extraction/production on account of the threat of ECT arbitration (see </w:t>
      </w:r>
      <w:r w:rsidRPr="003D0D5B">
        <w:rPr>
          <w:rFonts w:ascii="Garamond" w:hAnsi="Garamond"/>
          <w:sz w:val="24"/>
          <w:szCs w:val="24"/>
          <w:lang w:val="en-GB"/>
        </w:rPr>
        <w:t xml:space="preserve">paragraph </w:t>
      </w:r>
      <w:r>
        <w:rPr>
          <w:rFonts w:ascii="Garamond" w:hAnsi="Garamond" w:cs="Times New Roman"/>
          <w:sz w:val="24"/>
          <w:szCs w:val="24"/>
          <w:lang w:val="en-GB"/>
        </w:rPr>
        <w:t xml:space="preserve">18 </w:t>
      </w:r>
      <w:r w:rsidRPr="003D0D5B">
        <w:rPr>
          <w:rFonts w:ascii="Garamond" w:hAnsi="Garamond"/>
          <w:sz w:val="24"/>
          <w:szCs w:val="24"/>
          <w:lang w:val="en-GB"/>
        </w:rPr>
        <w:t>of</w:t>
      </w:r>
      <w:r w:rsidRPr="008F3A1A">
        <w:rPr>
          <w:rFonts w:ascii="Garamond" w:hAnsi="Garamond"/>
          <w:sz w:val="24"/>
          <w:szCs w:val="24"/>
          <w:lang w:val="en-GB"/>
        </w:rPr>
        <w:t xml:space="preserve"> the Application</w:t>
      </w:r>
      <w:r w:rsidRPr="003D0D5B">
        <w:rPr>
          <w:rFonts w:ascii="Garamond" w:hAnsi="Garamond"/>
          <w:sz w:val="24"/>
          <w:szCs w:val="24"/>
          <w:lang w:val="en-GB"/>
        </w:rPr>
        <w:t>). Given the extent</w:t>
      </w:r>
      <w:r w:rsidRPr="004C3114">
        <w:rPr>
          <w:rFonts w:ascii="Garamond" w:hAnsi="Garamond"/>
          <w:sz w:val="24"/>
          <w:szCs w:val="24"/>
          <w:lang w:val="en-GB"/>
        </w:rPr>
        <w:t xml:space="preserve"> of fossil fuel assets covered by the ECT in the Respondent States</w:t>
      </w:r>
      <w:r w:rsidRPr="008F3A1A">
        <w:rPr>
          <w:rFonts w:ascii="Garamond" w:hAnsi="Garamond"/>
          <w:sz w:val="24"/>
          <w:szCs w:val="24"/>
          <w:lang w:val="en-GB"/>
        </w:rPr>
        <w:t>, such examples only represent the tip of the iceberg (see paragraph</w:t>
      </w:r>
      <w:r>
        <w:rPr>
          <w:rFonts w:ascii="Garamond" w:hAnsi="Garamond"/>
          <w:sz w:val="24"/>
          <w:szCs w:val="24"/>
          <w:lang w:val="en-GB"/>
        </w:rPr>
        <w:t xml:space="preserve"> 18 </w:t>
      </w:r>
      <w:r w:rsidRPr="008F3A1A">
        <w:rPr>
          <w:rFonts w:ascii="Garamond" w:hAnsi="Garamond"/>
          <w:sz w:val="24"/>
          <w:szCs w:val="24"/>
          <w:lang w:val="en-GB"/>
        </w:rPr>
        <w:t>of the Application).</w:t>
      </w:r>
    </w:p>
    <w:p w14:paraId="0562DB51" w14:textId="77777777" w:rsidR="008D4DEB" w:rsidRPr="008F3A1A" w:rsidRDefault="008D4DEB">
      <w:pPr>
        <w:pStyle w:val="Notedebasdepage"/>
        <w:numPr>
          <w:ilvl w:val="0"/>
          <w:numId w:val="8"/>
        </w:numPr>
        <w:spacing w:beforeLines="60" w:before="144" w:afterLines="60" w:after="144" w:line="360" w:lineRule="auto"/>
        <w:ind w:left="502"/>
        <w:jc w:val="both"/>
        <w:rPr>
          <w:rFonts w:ascii="Garamond" w:hAnsi="Garamond" w:cs="Times New Roman"/>
          <w:sz w:val="24"/>
          <w:szCs w:val="24"/>
          <w:lang w:val="en-GB"/>
        </w:rPr>
      </w:pPr>
      <w:r w:rsidRPr="008F3A1A">
        <w:rPr>
          <w:rFonts w:ascii="Garamond" w:hAnsi="Garamond"/>
          <w:sz w:val="24"/>
          <w:szCs w:val="24"/>
          <w:lang w:val="en-GB"/>
        </w:rPr>
        <w:t xml:space="preserve">This is therefore an instance where the Respondent States’ commitments under the ECT delay or otherwise impede the fulfilment of their obligations under Article 2 and 8 of the Convention, as per </w:t>
      </w:r>
      <w:r w:rsidRPr="008F3A1A">
        <w:rPr>
          <w:rFonts w:ascii="Garamond" w:hAnsi="Garamond"/>
          <w:i/>
          <w:iCs/>
          <w:sz w:val="24"/>
          <w:szCs w:val="24"/>
          <w:lang w:val="en-GB"/>
        </w:rPr>
        <w:t>X v Germany</w:t>
      </w:r>
      <w:r w:rsidRPr="008F3A1A">
        <w:rPr>
          <w:rFonts w:ascii="Garamond" w:hAnsi="Garamond"/>
          <w:sz w:val="24"/>
          <w:szCs w:val="24"/>
          <w:lang w:val="en-GB"/>
        </w:rPr>
        <w:t xml:space="preserve">. This impediment cannot be justified owing to the factors outlined at </w:t>
      </w:r>
      <w:r w:rsidRPr="00912951">
        <w:rPr>
          <w:rFonts w:ascii="Garamond" w:hAnsi="Garamond"/>
          <w:sz w:val="24"/>
          <w:szCs w:val="24"/>
          <w:lang w:val="en-GB"/>
        </w:rPr>
        <w:t>paragraph 47.</w:t>
      </w:r>
    </w:p>
    <w:p w14:paraId="3C845591" w14:textId="77777777" w:rsidR="008D4DEB" w:rsidRPr="008F3A1A" w:rsidRDefault="008D4DEB">
      <w:pPr>
        <w:pStyle w:val="Notedebasdepage"/>
        <w:numPr>
          <w:ilvl w:val="0"/>
          <w:numId w:val="8"/>
        </w:numPr>
        <w:spacing w:beforeLines="60" w:before="144" w:afterLines="60" w:after="144" w:line="360" w:lineRule="auto"/>
        <w:ind w:left="502"/>
        <w:jc w:val="both"/>
        <w:rPr>
          <w:rFonts w:ascii="Garamond" w:hAnsi="Garamond" w:cs="Times New Roman"/>
          <w:sz w:val="24"/>
          <w:szCs w:val="24"/>
          <w:lang w:val="en-GB"/>
        </w:rPr>
      </w:pPr>
      <w:r w:rsidRPr="008F3A1A">
        <w:rPr>
          <w:rFonts w:ascii="Garamond" w:hAnsi="Garamond"/>
          <w:sz w:val="24"/>
          <w:szCs w:val="24"/>
          <w:lang w:val="en-GB"/>
        </w:rPr>
        <w:t xml:space="preserve">In such circumstances, the Respondent States are under a </w:t>
      </w:r>
      <w:r w:rsidRPr="008F3A1A">
        <w:rPr>
          <w:rFonts w:ascii="Garamond" w:hAnsi="Garamond"/>
          <w:b/>
          <w:sz w:val="24"/>
          <w:szCs w:val="24"/>
          <w:lang w:val="en-GB"/>
        </w:rPr>
        <w:t>duty to take reasonable steps to remove the impediments created by the ECT to the fulfilment of their obligations under the Convention</w:t>
      </w:r>
      <w:r w:rsidRPr="008F3A1A">
        <w:rPr>
          <w:rFonts w:ascii="Garamond" w:hAnsi="Garamond"/>
          <w:sz w:val="24"/>
          <w:szCs w:val="24"/>
          <w:lang w:val="en-GB"/>
        </w:rPr>
        <w:t xml:space="preserve">. Such steps could include, </w:t>
      </w:r>
      <w:r w:rsidRPr="008F3A1A">
        <w:rPr>
          <w:rFonts w:ascii="Garamond" w:hAnsi="Garamond"/>
          <w:i/>
          <w:iCs/>
          <w:sz w:val="24"/>
          <w:szCs w:val="24"/>
          <w:lang w:val="en-GB"/>
        </w:rPr>
        <w:t>inter alia</w:t>
      </w:r>
      <w:r>
        <w:rPr>
          <w:rFonts w:ascii="Garamond" w:hAnsi="Garamond"/>
          <w:sz w:val="24"/>
          <w:szCs w:val="24"/>
          <w:lang w:val="en-GB"/>
        </w:rPr>
        <w:t>,</w:t>
      </w:r>
      <w:r w:rsidRPr="008F3A1A">
        <w:rPr>
          <w:rFonts w:ascii="Garamond" w:hAnsi="Garamond"/>
          <w:i/>
          <w:iCs/>
          <w:sz w:val="24"/>
          <w:szCs w:val="24"/>
          <w:lang w:val="en-GB"/>
        </w:rPr>
        <w:t xml:space="preserve"> </w:t>
      </w:r>
      <w:r w:rsidRPr="008F3A1A">
        <w:rPr>
          <w:rFonts w:ascii="Garamond" w:hAnsi="Garamond"/>
          <w:sz w:val="24"/>
          <w:szCs w:val="24"/>
          <w:lang w:val="en-GB"/>
        </w:rPr>
        <w:t>a number of the following elements:</w:t>
      </w:r>
    </w:p>
    <w:p w14:paraId="3BD37CC9" w14:textId="77777777" w:rsidR="008D4DEB" w:rsidRPr="008F3A1A" w:rsidRDefault="008D4DEB">
      <w:pPr>
        <w:pStyle w:val="Notedebasdepage"/>
        <w:numPr>
          <w:ilvl w:val="1"/>
          <w:numId w:val="8"/>
        </w:numPr>
        <w:spacing w:beforeLines="60" w:before="144" w:afterLines="60" w:after="144" w:line="360" w:lineRule="auto"/>
        <w:ind w:left="851"/>
        <w:jc w:val="both"/>
        <w:rPr>
          <w:rFonts w:ascii="Garamond" w:hAnsi="Garamond" w:cs="Times New Roman"/>
          <w:sz w:val="24"/>
          <w:szCs w:val="24"/>
          <w:lang w:val="en-GB"/>
        </w:rPr>
      </w:pPr>
      <w:r w:rsidRPr="008F3A1A">
        <w:rPr>
          <w:rFonts w:ascii="Garamond" w:hAnsi="Garamond"/>
          <w:sz w:val="24"/>
          <w:szCs w:val="24"/>
          <w:lang w:val="en-GB"/>
        </w:rPr>
        <w:t>Negotiating an exemption for climate action to the investor protections in the ECT;</w:t>
      </w:r>
    </w:p>
    <w:p w14:paraId="3B66EE15" w14:textId="77777777" w:rsidR="008D4DEB" w:rsidRPr="008F3A1A" w:rsidRDefault="008D4DEB">
      <w:pPr>
        <w:pStyle w:val="Notedebasdepage"/>
        <w:numPr>
          <w:ilvl w:val="1"/>
          <w:numId w:val="8"/>
        </w:numPr>
        <w:spacing w:beforeLines="60" w:before="144" w:afterLines="60" w:after="144" w:line="360" w:lineRule="auto"/>
        <w:ind w:left="851"/>
        <w:jc w:val="both"/>
        <w:rPr>
          <w:rFonts w:ascii="Garamond" w:hAnsi="Garamond" w:cs="Times New Roman"/>
          <w:sz w:val="24"/>
          <w:szCs w:val="24"/>
          <w:lang w:val="en-GB"/>
        </w:rPr>
      </w:pPr>
      <w:r w:rsidRPr="008F3A1A">
        <w:rPr>
          <w:rFonts w:ascii="Garamond" w:hAnsi="Garamond"/>
          <w:sz w:val="24"/>
          <w:szCs w:val="24"/>
          <w:lang w:val="en-GB"/>
        </w:rPr>
        <w:t xml:space="preserve">Negotiating an exclusion of the protection of fossil fuel investments within the ECT; </w:t>
      </w:r>
    </w:p>
    <w:p w14:paraId="76C864E8" w14:textId="77777777" w:rsidR="008D4DEB" w:rsidRPr="008F3A1A" w:rsidRDefault="008D4DEB">
      <w:pPr>
        <w:pStyle w:val="Notedebasdepage"/>
        <w:numPr>
          <w:ilvl w:val="1"/>
          <w:numId w:val="8"/>
        </w:numPr>
        <w:spacing w:beforeLines="60" w:before="144" w:afterLines="60" w:after="144" w:line="360" w:lineRule="auto"/>
        <w:ind w:left="851"/>
        <w:jc w:val="both"/>
        <w:rPr>
          <w:rFonts w:ascii="Garamond" w:hAnsi="Garamond" w:cs="Times New Roman"/>
          <w:sz w:val="24"/>
          <w:szCs w:val="24"/>
          <w:lang w:val="en-GB"/>
        </w:rPr>
      </w:pPr>
      <w:r w:rsidRPr="008F3A1A">
        <w:rPr>
          <w:rFonts w:ascii="Garamond" w:hAnsi="Garamond"/>
          <w:sz w:val="24"/>
          <w:szCs w:val="24"/>
          <w:lang w:val="en-GB"/>
        </w:rPr>
        <w:t xml:space="preserve">Failing the aforesaid, negotiating an </w:t>
      </w:r>
      <w:r w:rsidRPr="008F3A1A">
        <w:rPr>
          <w:rFonts w:ascii="Garamond" w:hAnsi="Garamond"/>
          <w:i/>
          <w:sz w:val="24"/>
          <w:szCs w:val="24"/>
          <w:lang w:val="en-GB"/>
        </w:rPr>
        <w:t xml:space="preserve">inter se </w:t>
      </w:r>
      <w:r w:rsidRPr="008F3A1A">
        <w:rPr>
          <w:rFonts w:ascii="Garamond" w:hAnsi="Garamond"/>
          <w:sz w:val="24"/>
          <w:szCs w:val="24"/>
          <w:lang w:val="en-GB"/>
        </w:rPr>
        <w:t xml:space="preserve">agreement to modify or terminate the ECT between signatories; </w:t>
      </w:r>
    </w:p>
    <w:p w14:paraId="00D40ADA" w14:textId="77777777" w:rsidR="008D4DEB" w:rsidRPr="007B5DAD" w:rsidRDefault="008D4DEB">
      <w:pPr>
        <w:pStyle w:val="Notedebasdepage"/>
        <w:numPr>
          <w:ilvl w:val="1"/>
          <w:numId w:val="8"/>
        </w:numPr>
        <w:spacing w:beforeLines="60" w:before="144" w:afterLines="60" w:after="144" w:line="360" w:lineRule="auto"/>
        <w:ind w:left="851"/>
        <w:jc w:val="both"/>
        <w:rPr>
          <w:rFonts w:ascii="Garamond" w:hAnsi="Garamond" w:cs="Times New Roman"/>
          <w:sz w:val="24"/>
          <w:szCs w:val="24"/>
          <w:lang w:val="en-GB"/>
        </w:rPr>
      </w:pPr>
      <w:r w:rsidRPr="008F3A1A">
        <w:rPr>
          <w:rFonts w:ascii="Garamond" w:hAnsi="Garamond"/>
          <w:sz w:val="24"/>
          <w:szCs w:val="24"/>
          <w:lang w:val="en-GB"/>
        </w:rPr>
        <w:t>Withdrawing from the ECT</w:t>
      </w:r>
      <w:r>
        <w:rPr>
          <w:rFonts w:ascii="Garamond" w:hAnsi="Garamond"/>
          <w:sz w:val="24"/>
          <w:szCs w:val="24"/>
          <w:lang w:val="en-GB"/>
        </w:rPr>
        <w:t>;</w:t>
      </w:r>
      <w:r w:rsidRPr="008F3A1A">
        <w:rPr>
          <w:rStyle w:val="Appelnotedebasdep"/>
          <w:rFonts w:ascii="Garamond" w:hAnsi="Garamond"/>
          <w:sz w:val="24"/>
          <w:szCs w:val="24"/>
          <w:lang w:val="en-GB"/>
        </w:rPr>
        <w:footnoteReference w:id="139"/>
      </w:r>
    </w:p>
    <w:p w14:paraId="61B0F654" w14:textId="77777777" w:rsidR="008D4DEB" w:rsidRPr="008F3A1A" w:rsidRDefault="008D4DEB">
      <w:pPr>
        <w:pStyle w:val="Notedebasdepage"/>
        <w:numPr>
          <w:ilvl w:val="1"/>
          <w:numId w:val="8"/>
        </w:numPr>
        <w:spacing w:beforeLines="60" w:before="144" w:afterLines="60" w:after="144" w:line="360" w:lineRule="auto"/>
        <w:ind w:left="851"/>
        <w:jc w:val="both"/>
        <w:rPr>
          <w:rFonts w:ascii="Garamond" w:hAnsi="Garamond" w:cs="Times New Roman"/>
          <w:sz w:val="24"/>
          <w:szCs w:val="24"/>
          <w:lang w:val="en-GB"/>
        </w:rPr>
      </w:pPr>
      <w:r>
        <w:rPr>
          <w:rFonts w:ascii="Garamond" w:eastAsia="Garamond" w:hAnsi="Garamond" w:cs="Garamond"/>
          <w:sz w:val="24"/>
          <w:szCs w:val="24"/>
          <w:lang w:val="en-GB"/>
        </w:rPr>
        <w:lastRenderedPageBreak/>
        <w:t>A</w:t>
      </w:r>
      <w:r w:rsidRPr="00961A5B">
        <w:rPr>
          <w:rFonts w:ascii="Garamond" w:eastAsia="Garamond" w:hAnsi="Garamond" w:cs="Garamond"/>
          <w:sz w:val="24"/>
          <w:szCs w:val="24"/>
          <w:lang w:val="en-GB"/>
        </w:rPr>
        <w:t>dequately regulating companies within their jurisdiction to prevent them from bringing ECT claims against other States in relation to their climate mitigation measures</w:t>
      </w:r>
      <w:r>
        <w:rPr>
          <w:rFonts w:ascii="Garamond" w:hAnsi="Garamond"/>
          <w:sz w:val="24"/>
          <w:szCs w:val="24"/>
          <w:lang w:val="en-GB"/>
        </w:rPr>
        <w:t>.</w:t>
      </w:r>
    </w:p>
    <w:p w14:paraId="5CE6EA01" w14:textId="77777777" w:rsidR="008D4DEB" w:rsidRPr="00AD572E" w:rsidRDefault="008D4DEB">
      <w:pPr>
        <w:pStyle w:val="Notedebasdepage"/>
        <w:numPr>
          <w:ilvl w:val="0"/>
          <w:numId w:val="8"/>
        </w:numPr>
        <w:spacing w:beforeLines="60" w:before="144" w:afterLines="60" w:after="144" w:line="360" w:lineRule="auto"/>
        <w:ind w:left="502"/>
        <w:jc w:val="both"/>
        <w:rPr>
          <w:rFonts w:ascii="Garamond" w:hAnsi="Garamond" w:cs="Times New Roman"/>
          <w:sz w:val="24"/>
          <w:szCs w:val="24"/>
          <w:lang w:val="en-GB"/>
        </w:rPr>
      </w:pPr>
      <w:r w:rsidRPr="008F3A1A">
        <w:rPr>
          <w:rFonts w:ascii="Garamond" w:hAnsi="Garamond"/>
          <w:sz w:val="24"/>
          <w:szCs w:val="24"/>
          <w:lang w:val="en-GB"/>
        </w:rPr>
        <w:t>The choice of means between such measures (or others) falls within the margin of appreciation of the Respondent States, insofar as the means chosen are effective in removing the impediment to compliance with the overriding obligation.</w:t>
      </w:r>
    </w:p>
    <w:p w14:paraId="21AC067A" w14:textId="77777777" w:rsidR="008D4DEB" w:rsidRPr="00AD572E" w:rsidRDefault="008D4DEB">
      <w:pPr>
        <w:pStyle w:val="Notedebasdepage"/>
        <w:numPr>
          <w:ilvl w:val="0"/>
          <w:numId w:val="8"/>
        </w:numPr>
        <w:spacing w:beforeLines="60" w:before="144" w:afterLines="60" w:after="144" w:line="360" w:lineRule="auto"/>
        <w:ind w:left="502"/>
        <w:jc w:val="both"/>
        <w:rPr>
          <w:rFonts w:ascii="Garamond" w:hAnsi="Garamond" w:cs="Times New Roman"/>
          <w:sz w:val="24"/>
          <w:szCs w:val="24"/>
          <w:lang w:val="en-GB"/>
        </w:rPr>
      </w:pPr>
      <w:r w:rsidRPr="008F3A1A">
        <w:rPr>
          <w:rFonts w:ascii="Garamond" w:hAnsi="Garamond" w:cs="Times New Roman"/>
          <w:sz w:val="24"/>
          <w:szCs w:val="24"/>
          <w:lang w:val="en-GB"/>
        </w:rPr>
        <w:t>In addition, States’ duty to cooperate</w:t>
      </w:r>
      <w:r w:rsidRPr="008F3A1A">
        <w:rPr>
          <w:rStyle w:val="Appelnotedebasdep"/>
          <w:rFonts w:ascii="Garamond" w:hAnsi="Garamond" w:cs="Times New Roman"/>
          <w:sz w:val="24"/>
          <w:szCs w:val="24"/>
          <w:lang w:val="en-GB"/>
        </w:rPr>
        <w:footnoteReference w:id="140"/>
      </w:r>
      <w:r w:rsidRPr="008F3A1A">
        <w:rPr>
          <w:rFonts w:ascii="Garamond" w:hAnsi="Garamond" w:cs="Times New Roman"/>
          <w:sz w:val="24"/>
          <w:szCs w:val="24"/>
          <w:lang w:val="en-GB"/>
        </w:rPr>
        <w:t xml:space="preserve"> in the context of climate change</w:t>
      </w:r>
      <w:r>
        <w:rPr>
          <w:rFonts w:ascii="Garamond" w:hAnsi="Garamond" w:cs="Times New Roman"/>
          <w:sz w:val="24"/>
          <w:szCs w:val="24"/>
          <w:lang w:val="en-GB"/>
        </w:rPr>
        <w:t xml:space="preserve"> requires that they must</w:t>
      </w:r>
      <w:r w:rsidRPr="008F3A1A">
        <w:rPr>
          <w:rFonts w:ascii="Garamond" w:hAnsi="Garamond" w:cs="Times New Roman"/>
          <w:sz w:val="24"/>
          <w:szCs w:val="24"/>
          <w:lang w:val="en-GB"/>
        </w:rPr>
        <w:t xml:space="preserve"> not</w:t>
      </w:r>
      <w:r>
        <w:rPr>
          <w:rFonts w:ascii="Garamond" w:hAnsi="Garamond" w:cs="Times New Roman"/>
          <w:sz w:val="24"/>
          <w:szCs w:val="24"/>
          <w:lang w:val="en-GB"/>
        </w:rPr>
        <w:t xml:space="preserve"> act</w:t>
      </w:r>
      <w:r w:rsidRPr="008F3A1A">
        <w:rPr>
          <w:rFonts w:ascii="Garamond" w:hAnsi="Garamond" w:cs="Times New Roman"/>
          <w:sz w:val="24"/>
          <w:szCs w:val="24"/>
          <w:lang w:val="en-GB"/>
        </w:rPr>
        <w:t xml:space="preserve"> to impede other States’ efforts </w:t>
      </w:r>
      <w:r w:rsidRPr="008F3A1A">
        <w:rPr>
          <w:rFonts w:ascii="Garamond" w:hAnsi="Garamond"/>
          <w:sz w:val="24"/>
          <w:szCs w:val="24"/>
          <w:lang w:val="en-GB"/>
        </w:rPr>
        <w:t>to reduce their territorial emissions</w:t>
      </w:r>
      <w:r w:rsidRPr="008F3A1A">
        <w:rPr>
          <w:rFonts w:ascii="Garamond" w:hAnsi="Garamond" w:cs="Times New Roman"/>
          <w:sz w:val="24"/>
          <w:szCs w:val="24"/>
          <w:lang w:val="en-GB"/>
        </w:rPr>
        <w:t xml:space="preserve">. This requires States to preserve their collective ability to </w:t>
      </w:r>
      <w:r w:rsidRPr="008F3A1A">
        <w:rPr>
          <w:rFonts w:ascii="Garamond" w:hAnsi="Garamond"/>
          <w:sz w:val="24"/>
          <w:szCs w:val="24"/>
          <w:lang w:val="en-GB"/>
        </w:rPr>
        <w:t>comply with the overriding obligation</w:t>
      </w:r>
      <w:r w:rsidRPr="008F3A1A">
        <w:rPr>
          <w:rFonts w:ascii="Garamond" w:hAnsi="Garamond" w:cs="Times New Roman"/>
          <w:sz w:val="24"/>
          <w:szCs w:val="24"/>
          <w:lang w:val="en-GB"/>
        </w:rPr>
        <w:t xml:space="preserve">, as well as to not allow companies subject to their jurisdiction to hamper such efforts, </w:t>
      </w:r>
      <w:r w:rsidRPr="00295353">
        <w:rPr>
          <w:rFonts w:ascii="Garamond" w:hAnsi="Garamond" w:cs="Times New Roman"/>
          <w:i/>
          <w:sz w:val="24"/>
          <w:szCs w:val="24"/>
          <w:lang w:val="en-GB"/>
        </w:rPr>
        <w:t xml:space="preserve">e.g. </w:t>
      </w:r>
      <w:r>
        <w:rPr>
          <w:rFonts w:ascii="Garamond" w:hAnsi="Garamond" w:cs="Times New Roman"/>
          <w:sz w:val="24"/>
          <w:szCs w:val="24"/>
          <w:lang w:val="en-GB"/>
        </w:rPr>
        <w:t xml:space="preserve">through </w:t>
      </w:r>
      <w:r w:rsidRPr="008F3A1A">
        <w:rPr>
          <w:rFonts w:ascii="Garamond" w:hAnsi="Garamond" w:cs="Times New Roman"/>
          <w:sz w:val="24"/>
          <w:szCs w:val="24"/>
          <w:lang w:val="en-GB"/>
        </w:rPr>
        <w:t>the use or threat of use of the ECT’s ISDS mechanism against domestic measures implementing the energy transition.</w:t>
      </w:r>
      <w:r>
        <w:rPr>
          <w:rFonts w:ascii="Garamond" w:hAnsi="Garamond" w:cs="Times New Roman"/>
          <w:sz w:val="24"/>
          <w:szCs w:val="24"/>
          <w:lang w:val="en-GB"/>
        </w:rPr>
        <w:t xml:space="preserve"> A failure to take the steps outlined above would breach this duty of cooperation.</w:t>
      </w:r>
    </w:p>
    <w:p w14:paraId="5F812F30" w14:textId="77777777" w:rsidR="008D4DEB" w:rsidRPr="008F3A1A" w:rsidRDefault="008D4DEB">
      <w:pPr>
        <w:pStyle w:val="Notedebasdepage"/>
        <w:numPr>
          <w:ilvl w:val="0"/>
          <w:numId w:val="8"/>
        </w:numPr>
        <w:spacing w:beforeLines="60" w:before="144" w:afterLines="60" w:after="144" w:line="360" w:lineRule="auto"/>
        <w:ind w:left="502"/>
        <w:jc w:val="both"/>
        <w:rPr>
          <w:rFonts w:ascii="Garamond" w:hAnsi="Garamond" w:cs="Times New Roman"/>
          <w:sz w:val="24"/>
          <w:szCs w:val="24"/>
          <w:lang w:val="en-GB"/>
        </w:rPr>
      </w:pPr>
      <w:r w:rsidRPr="008F3A1A">
        <w:rPr>
          <w:rFonts w:ascii="Garamond" w:hAnsi="Garamond"/>
          <w:sz w:val="24"/>
          <w:szCs w:val="24"/>
          <w:lang w:val="en-GB"/>
        </w:rPr>
        <w:t>Against this background, the Applicant submit</w:t>
      </w:r>
      <w:r>
        <w:rPr>
          <w:rFonts w:ascii="Garamond" w:hAnsi="Garamond"/>
          <w:sz w:val="24"/>
          <w:szCs w:val="24"/>
          <w:lang w:val="en-GB"/>
        </w:rPr>
        <w:t>s</w:t>
      </w:r>
      <w:r w:rsidRPr="008F3A1A">
        <w:rPr>
          <w:rFonts w:ascii="Garamond" w:hAnsi="Garamond"/>
          <w:sz w:val="24"/>
          <w:szCs w:val="24"/>
          <w:lang w:val="en-GB"/>
        </w:rPr>
        <w:t xml:space="preserve"> that the Respondent States have failed to take reasonable steps to remove the impediments created by the ECT to the fulfilment of their </w:t>
      </w:r>
      <w:r w:rsidRPr="00DB32AD">
        <w:rPr>
          <w:rFonts w:ascii="Garamond" w:hAnsi="Garamond"/>
          <w:sz w:val="24"/>
          <w:szCs w:val="24"/>
          <w:lang w:val="en-GB"/>
        </w:rPr>
        <w:t>and other States’</w:t>
      </w:r>
      <w:r>
        <w:rPr>
          <w:rFonts w:ascii="Garamond" w:hAnsi="Garamond"/>
          <w:sz w:val="24"/>
          <w:szCs w:val="24"/>
          <w:lang w:val="en-GB"/>
        </w:rPr>
        <w:t xml:space="preserve"> </w:t>
      </w:r>
      <w:r w:rsidRPr="008F3A1A">
        <w:rPr>
          <w:rFonts w:ascii="Garamond" w:hAnsi="Garamond"/>
          <w:sz w:val="24"/>
          <w:szCs w:val="24"/>
          <w:lang w:val="en-GB"/>
        </w:rPr>
        <w:t>overriding obligation to regulate and limit emissions in a manner consistent with the LTTG of 1.5</w:t>
      </w:r>
      <w:r w:rsidRPr="008F3A1A">
        <w:rPr>
          <w:rFonts w:cs="Times New Roman"/>
          <w:sz w:val="24"/>
          <w:szCs w:val="24"/>
          <w:lang w:val="en-GB"/>
        </w:rPr>
        <w:t>℃</w:t>
      </w:r>
      <w:r w:rsidRPr="008F3A1A">
        <w:rPr>
          <w:rFonts w:ascii="Garamond" w:hAnsi="Garamond"/>
          <w:sz w:val="24"/>
          <w:szCs w:val="24"/>
          <w:lang w:val="en-GB"/>
        </w:rPr>
        <w:t xml:space="preserve"> and are therefore in breach of Articles 2 and 8 of the Convention. As set out at paragraph</w:t>
      </w:r>
      <w:r>
        <w:rPr>
          <w:rFonts w:ascii="Garamond" w:hAnsi="Garamond"/>
          <w:sz w:val="24"/>
          <w:szCs w:val="24"/>
          <w:lang w:val="en-GB"/>
        </w:rPr>
        <w:t xml:space="preserve"> 19 </w:t>
      </w:r>
      <w:r w:rsidRPr="008F3A1A">
        <w:rPr>
          <w:rFonts w:ascii="Garamond" w:hAnsi="Garamond"/>
          <w:sz w:val="24"/>
          <w:szCs w:val="24"/>
          <w:lang w:val="en-GB"/>
        </w:rPr>
        <w:t>of the Application, steps taken to renegotiate the terms of the ECT have failed to secure</w:t>
      </w:r>
      <w:r>
        <w:rPr>
          <w:rFonts w:ascii="Garamond" w:hAnsi="Garamond"/>
          <w:sz w:val="24"/>
          <w:szCs w:val="24"/>
          <w:lang w:val="en-GB"/>
        </w:rPr>
        <w:t xml:space="preserve"> sufficient</w:t>
      </w:r>
      <w:r w:rsidRPr="008F3A1A">
        <w:rPr>
          <w:rFonts w:ascii="Garamond" w:hAnsi="Garamond"/>
          <w:sz w:val="24"/>
          <w:szCs w:val="24"/>
          <w:lang w:val="en-GB"/>
        </w:rPr>
        <w:t xml:space="preserve"> results and have been ongoing </w:t>
      </w:r>
      <w:r w:rsidRPr="00DF3160">
        <w:rPr>
          <w:rFonts w:ascii="Garamond" w:hAnsi="Garamond"/>
          <w:sz w:val="24"/>
          <w:szCs w:val="24"/>
          <w:lang w:val="en-GB"/>
        </w:rPr>
        <w:t xml:space="preserve">for </w:t>
      </w:r>
      <w:r>
        <w:rPr>
          <w:rFonts w:ascii="Garamond" w:hAnsi="Garamond"/>
          <w:sz w:val="24"/>
          <w:szCs w:val="24"/>
          <w:lang w:val="en-GB"/>
        </w:rPr>
        <w:t xml:space="preserve">several </w:t>
      </w:r>
      <w:r w:rsidRPr="00DF3160">
        <w:rPr>
          <w:rFonts w:ascii="Garamond" w:hAnsi="Garamond"/>
          <w:sz w:val="24"/>
          <w:szCs w:val="24"/>
          <w:lang w:val="en-GB"/>
        </w:rPr>
        <w:t>years</w:t>
      </w:r>
      <w:r w:rsidRPr="008F3A1A">
        <w:rPr>
          <w:rFonts w:ascii="Garamond" w:hAnsi="Garamond"/>
          <w:sz w:val="24"/>
          <w:szCs w:val="24"/>
          <w:lang w:val="en-GB"/>
        </w:rPr>
        <w:t>. Given the urgency with which steps must be taken and the principle that such steps must be effective, such efforts to renegotiate the ECT have not discharged their obligations under Articles 2 and 8.</w:t>
      </w:r>
    </w:p>
    <w:p w14:paraId="79FC3F77" w14:textId="77777777" w:rsidR="008D4DEB" w:rsidRPr="008D4DEB" w:rsidRDefault="008D4DEB" w:rsidP="008D4DEB">
      <w:pPr>
        <w:pStyle w:val="Titre4"/>
        <w:spacing w:line="360" w:lineRule="auto"/>
        <w:rPr>
          <w:rFonts w:ascii="Garamond" w:hAnsi="Garamond"/>
          <w:color w:val="002060"/>
          <w:lang w:val="en-US"/>
        </w:rPr>
      </w:pPr>
      <w:r w:rsidRPr="008D4DEB">
        <w:rPr>
          <w:rFonts w:ascii="Garamond" w:hAnsi="Garamond"/>
          <w:color w:val="002060"/>
          <w:lang w:val="en-US"/>
        </w:rPr>
        <w:t>Application of the positive procedural obligations in the ECT context</w:t>
      </w:r>
    </w:p>
    <w:p w14:paraId="5D1BC22C" w14:textId="77777777" w:rsidR="008D4DEB" w:rsidRPr="008F3A1A" w:rsidRDefault="008D4DEB">
      <w:pPr>
        <w:pStyle w:val="Notedebasdepage"/>
        <w:numPr>
          <w:ilvl w:val="0"/>
          <w:numId w:val="8"/>
        </w:numPr>
        <w:spacing w:beforeLines="60" w:before="144" w:afterLines="60" w:after="144" w:line="360" w:lineRule="auto"/>
        <w:ind w:left="502"/>
        <w:jc w:val="both"/>
        <w:rPr>
          <w:rFonts w:ascii="Garamond" w:hAnsi="Garamond" w:cs="Times New Roman"/>
          <w:sz w:val="24"/>
          <w:szCs w:val="24"/>
          <w:lang w:val="en-GB"/>
        </w:rPr>
      </w:pPr>
      <w:r w:rsidRPr="008F3A1A">
        <w:rPr>
          <w:rFonts w:ascii="Garamond" w:hAnsi="Garamond"/>
          <w:sz w:val="24"/>
          <w:szCs w:val="24"/>
          <w:lang w:val="en-GB"/>
        </w:rPr>
        <w:t>The overriding obligation entails a number of relevant procedural duties, namely:</w:t>
      </w:r>
    </w:p>
    <w:p w14:paraId="0CF4FB43" w14:textId="77777777" w:rsidR="008D4DEB" w:rsidRPr="008F3A1A" w:rsidRDefault="008D4DEB">
      <w:pPr>
        <w:pStyle w:val="Notedebasdepage"/>
        <w:numPr>
          <w:ilvl w:val="1"/>
          <w:numId w:val="8"/>
        </w:numPr>
        <w:spacing w:beforeLines="60" w:before="144" w:afterLines="60" w:after="144" w:line="360" w:lineRule="auto"/>
        <w:ind w:left="786"/>
        <w:jc w:val="both"/>
        <w:rPr>
          <w:rFonts w:ascii="Garamond" w:hAnsi="Garamond" w:cs="Times New Roman"/>
          <w:sz w:val="24"/>
          <w:szCs w:val="24"/>
          <w:lang w:val="en-GB"/>
        </w:rPr>
      </w:pPr>
      <w:r w:rsidRPr="008F3A1A">
        <w:rPr>
          <w:rFonts w:ascii="Garamond" w:hAnsi="Garamond"/>
          <w:sz w:val="24"/>
          <w:szCs w:val="24"/>
          <w:lang w:val="en-GB"/>
        </w:rPr>
        <w:t>States must review the compatibility of agreements with the achievement of the LTTG of 1.5</w:t>
      </w:r>
      <w:r w:rsidRPr="008F3A1A">
        <w:rPr>
          <w:rFonts w:cs="Times New Roman"/>
          <w:sz w:val="24"/>
          <w:szCs w:val="24"/>
          <w:lang w:val="en-GB"/>
        </w:rPr>
        <w:t>℃</w:t>
      </w:r>
      <w:r w:rsidRPr="008F3A1A">
        <w:rPr>
          <w:rFonts w:ascii="Garamond" w:hAnsi="Garamond"/>
          <w:sz w:val="24"/>
          <w:szCs w:val="24"/>
          <w:lang w:val="en-GB"/>
        </w:rPr>
        <w:t>;</w:t>
      </w:r>
      <w:r w:rsidRPr="008F3A1A">
        <w:rPr>
          <w:rStyle w:val="Appelnotedebasdep"/>
          <w:rFonts w:ascii="Garamond" w:hAnsi="Garamond"/>
          <w:sz w:val="24"/>
          <w:szCs w:val="24"/>
          <w:lang w:val="en-GB"/>
        </w:rPr>
        <w:footnoteReference w:id="141"/>
      </w:r>
      <w:r w:rsidRPr="008F3A1A">
        <w:rPr>
          <w:rFonts w:ascii="Garamond" w:hAnsi="Garamond"/>
          <w:sz w:val="24"/>
          <w:szCs w:val="24"/>
          <w:lang w:val="en-GB"/>
        </w:rPr>
        <w:t xml:space="preserve"> and</w:t>
      </w:r>
    </w:p>
    <w:p w14:paraId="2D57F4AF" w14:textId="77777777" w:rsidR="008D4DEB" w:rsidRPr="008F3A1A" w:rsidRDefault="008D4DEB">
      <w:pPr>
        <w:pStyle w:val="Notedebasdepage"/>
        <w:numPr>
          <w:ilvl w:val="1"/>
          <w:numId w:val="8"/>
        </w:numPr>
        <w:spacing w:beforeLines="60" w:before="144" w:afterLines="60" w:after="144" w:line="360" w:lineRule="auto"/>
        <w:ind w:left="786"/>
        <w:jc w:val="both"/>
        <w:rPr>
          <w:rFonts w:ascii="Garamond" w:hAnsi="Garamond" w:cs="Times New Roman"/>
          <w:sz w:val="24"/>
          <w:szCs w:val="24"/>
          <w:lang w:val="en-GB"/>
        </w:rPr>
      </w:pPr>
      <w:r w:rsidRPr="008F3A1A">
        <w:rPr>
          <w:rFonts w:ascii="Garamond" w:hAnsi="Garamond"/>
          <w:sz w:val="24"/>
          <w:szCs w:val="24"/>
          <w:lang w:val="en-GB"/>
        </w:rPr>
        <w:t>Information pertaining to and the content of such an assessment is to provided to the public.</w:t>
      </w:r>
    </w:p>
    <w:p w14:paraId="2252B205" w14:textId="77777777" w:rsidR="008D4DEB" w:rsidRPr="008F3A1A" w:rsidRDefault="008D4DEB">
      <w:pPr>
        <w:pStyle w:val="Notedebasdepage"/>
        <w:numPr>
          <w:ilvl w:val="0"/>
          <w:numId w:val="8"/>
        </w:numPr>
        <w:spacing w:beforeLines="60" w:before="144" w:afterLines="60" w:after="144" w:line="360" w:lineRule="auto"/>
        <w:ind w:left="502"/>
        <w:jc w:val="both"/>
        <w:rPr>
          <w:rFonts w:ascii="Garamond" w:hAnsi="Garamond" w:cs="Times New Roman"/>
          <w:sz w:val="24"/>
          <w:szCs w:val="24"/>
          <w:lang w:val="en-GB"/>
        </w:rPr>
      </w:pPr>
      <w:r w:rsidRPr="008F3A1A">
        <w:rPr>
          <w:rFonts w:ascii="Garamond" w:hAnsi="Garamond"/>
          <w:sz w:val="24"/>
          <w:szCs w:val="24"/>
          <w:lang w:val="en-GB"/>
        </w:rPr>
        <w:t>As regards the ECT, the Respondent States are in breach of their procedural obligations in that:</w:t>
      </w:r>
    </w:p>
    <w:p w14:paraId="5984387D" w14:textId="77777777" w:rsidR="008D4DEB" w:rsidRPr="008F3A1A" w:rsidRDefault="008D4DEB">
      <w:pPr>
        <w:pStyle w:val="Notedebasdepage"/>
        <w:numPr>
          <w:ilvl w:val="1"/>
          <w:numId w:val="8"/>
        </w:numPr>
        <w:spacing w:beforeLines="60" w:before="144" w:afterLines="60" w:after="144" w:line="360" w:lineRule="auto"/>
        <w:ind w:left="786"/>
        <w:jc w:val="both"/>
        <w:rPr>
          <w:rFonts w:ascii="Garamond" w:hAnsi="Garamond" w:cs="Times New Roman"/>
          <w:sz w:val="24"/>
          <w:szCs w:val="24"/>
          <w:lang w:val="en-GB"/>
        </w:rPr>
      </w:pPr>
      <w:r w:rsidRPr="008F3A1A">
        <w:rPr>
          <w:rFonts w:ascii="Garamond" w:hAnsi="Garamond"/>
          <w:sz w:val="24"/>
          <w:szCs w:val="24"/>
          <w:lang w:val="en-GB"/>
        </w:rPr>
        <w:lastRenderedPageBreak/>
        <w:t>They have failed to conduct appropriate assessments as to whether their continued membership of the ECT is compatible with their obligations under the Convention; and</w:t>
      </w:r>
    </w:p>
    <w:p w14:paraId="407808F9" w14:textId="77777777" w:rsidR="008D4DEB" w:rsidRPr="008F3A1A" w:rsidRDefault="008D4DEB">
      <w:pPr>
        <w:pStyle w:val="Notedebasdepage"/>
        <w:numPr>
          <w:ilvl w:val="1"/>
          <w:numId w:val="8"/>
        </w:numPr>
        <w:spacing w:beforeLines="60" w:before="144" w:afterLines="60" w:after="144" w:line="360" w:lineRule="auto"/>
        <w:ind w:left="786"/>
        <w:jc w:val="both"/>
        <w:rPr>
          <w:rFonts w:ascii="Garamond" w:hAnsi="Garamond" w:cs="Times New Roman"/>
          <w:sz w:val="24"/>
          <w:szCs w:val="24"/>
          <w:lang w:val="en-GB"/>
        </w:rPr>
      </w:pPr>
      <w:r w:rsidRPr="008F3A1A">
        <w:rPr>
          <w:rFonts w:ascii="Garamond" w:hAnsi="Garamond"/>
          <w:sz w:val="24"/>
          <w:szCs w:val="24"/>
          <w:lang w:val="en-GB"/>
        </w:rPr>
        <w:t>Further, or alternatively, have failed to provide the public with information pertaining to such assessments.</w:t>
      </w:r>
      <w:r>
        <w:rPr>
          <w:rStyle w:val="Appelnotedebasdep"/>
          <w:rFonts w:ascii="Garamond" w:hAnsi="Garamond"/>
          <w:sz w:val="24"/>
          <w:szCs w:val="24"/>
          <w:lang w:val="en-GB"/>
        </w:rPr>
        <w:footnoteReference w:id="142"/>
      </w:r>
    </w:p>
    <w:p w14:paraId="57FD1212" w14:textId="77777777" w:rsidR="008D4DEB" w:rsidRPr="003D0D5B" w:rsidRDefault="008D4DEB">
      <w:pPr>
        <w:pStyle w:val="Titre1"/>
        <w:numPr>
          <w:ilvl w:val="0"/>
          <w:numId w:val="9"/>
        </w:numPr>
        <w:spacing w:after="120" w:line="360" w:lineRule="auto"/>
        <w:ind w:left="567" w:hanging="567"/>
        <w:rPr>
          <w:rFonts w:ascii="Garamond" w:hAnsi="Garamond"/>
          <w:b w:val="0"/>
          <w:bCs/>
          <w:smallCaps w:val="0"/>
          <w:u w:val="single"/>
          <w:lang w:val="en-GB"/>
        </w:rPr>
      </w:pPr>
      <w:r w:rsidRPr="003D0D5B">
        <w:rPr>
          <w:rFonts w:ascii="Garamond" w:hAnsi="Garamond"/>
          <w:bCs/>
          <w:u w:val="single"/>
          <w:lang w:val="en-GB"/>
        </w:rPr>
        <w:t>Conclusion</w:t>
      </w:r>
    </w:p>
    <w:p w14:paraId="22AB1FAC" w14:textId="77777777" w:rsidR="008D4DEB" w:rsidRPr="008F3A1A" w:rsidRDefault="008D4DEB">
      <w:pPr>
        <w:pStyle w:val="Notedebasdepage"/>
        <w:numPr>
          <w:ilvl w:val="0"/>
          <w:numId w:val="8"/>
        </w:numPr>
        <w:spacing w:beforeLines="60" w:before="144" w:afterLines="60" w:after="144" w:line="360" w:lineRule="auto"/>
        <w:ind w:left="502"/>
        <w:jc w:val="both"/>
        <w:rPr>
          <w:rFonts w:ascii="Garamond" w:hAnsi="Garamond" w:cs="Times New Roman"/>
          <w:sz w:val="24"/>
          <w:szCs w:val="24"/>
          <w:lang w:val="en-GB"/>
        </w:rPr>
      </w:pPr>
      <w:r w:rsidRPr="008F3A1A">
        <w:rPr>
          <w:rFonts w:ascii="Garamond" w:hAnsi="Garamond"/>
          <w:sz w:val="24"/>
          <w:szCs w:val="24"/>
          <w:lang w:val="en-GB"/>
        </w:rPr>
        <w:t>For the reasons outlined</w:t>
      </w:r>
      <w:r>
        <w:rPr>
          <w:rFonts w:ascii="Garamond" w:hAnsi="Garamond"/>
          <w:sz w:val="24"/>
          <w:szCs w:val="24"/>
          <w:lang w:val="en-GB"/>
        </w:rPr>
        <w:t xml:space="preserve"> in this Annex and in the Application</w:t>
      </w:r>
      <w:r w:rsidRPr="008F3A1A">
        <w:rPr>
          <w:rFonts w:ascii="Garamond" w:hAnsi="Garamond"/>
          <w:sz w:val="24"/>
          <w:szCs w:val="24"/>
          <w:lang w:val="en-GB"/>
        </w:rPr>
        <w:t>, the Applicant allege</w:t>
      </w:r>
      <w:r>
        <w:rPr>
          <w:rFonts w:ascii="Garamond" w:hAnsi="Garamond"/>
          <w:sz w:val="24"/>
          <w:szCs w:val="24"/>
          <w:lang w:val="en-GB"/>
        </w:rPr>
        <w:t>s</w:t>
      </w:r>
      <w:r w:rsidRPr="008F3A1A">
        <w:rPr>
          <w:rFonts w:ascii="Garamond" w:hAnsi="Garamond"/>
          <w:sz w:val="24"/>
          <w:szCs w:val="24"/>
          <w:lang w:val="en-GB"/>
        </w:rPr>
        <w:t xml:space="preserve"> that the Respondent </w:t>
      </w:r>
      <w:r w:rsidRPr="00F558C6">
        <w:rPr>
          <w:rFonts w:ascii="Garamond" w:hAnsi="Garamond"/>
          <w:sz w:val="24"/>
          <w:szCs w:val="24"/>
          <w:lang w:val="en-GB"/>
        </w:rPr>
        <w:t xml:space="preserve">States have violated </w:t>
      </w:r>
      <w:r w:rsidRPr="002D1C46">
        <w:rPr>
          <w:rFonts w:ascii="Garamond" w:hAnsi="Garamond"/>
          <w:sz w:val="24"/>
          <w:szCs w:val="24"/>
          <w:lang w:val="en-GB"/>
        </w:rPr>
        <w:t>his/her</w:t>
      </w:r>
      <w:r w:rsidRPr="00F558C6">
        <w:rPr>
          <w:rFonts w:ascii="Garamond" w:hAnsi="Garamond"/>
          <w:sz w:val="24"/>
          <w:szCs w:val="24"/>
          <w:lang w:val="en-GB"/>
        </w:rPr>
        <w:t xml:space="preserve"> rights under Articles 2, 3, 8 and 14 of the Convention. The</w:t>
      </w:r>
      <w:r w:rsidRPr="008F3A1A">
        <w:rPr>
          <w:rFonts w:ascii="Garamond" w:hAnsi="Garamond"/>
          <w:sz w:val="24"/>
          <w:szCs w:val="24"/>
          <w:lang w:val="en-GB"/>
        </w:rPr>
        <w:t xml:space="preserve"> Applicant accordingly seek</w:t>
      </w:r>
      <w:r>
        <w:rPr>
          <w:rFonts w:ascii="Garamond" w:hAnsi="Garamond"/>
          <w:sz w:val="24"/>
          <w:szCs w:val="24"/>
          <w:lang w:val="en-GB"/>
        </w:rPr>
        <w:t>s</w:t>
      </w:r>
      <w:r w:rsidRPr="008F3A1A">
        <w:rPr>
          <w:rFonts w:ascii="Garamond" w:hAnsi="Garamond"/>
          <w:sz w:val="24"/>
          <w:szCs w:val="24"/>
          <w:lang w:val="en-GB"/>
        </w:rPr>
        <w:t xml:space="preserve"> just satisfaction under Article 41 in the form of declaratory relief</w:t>
      </w:r>
      <w:r w:rsidRPr="002D1C46">
        <w:rPr>
          <w:rFonts w:ascii="Garamond" w:hAnsi="Garamond"/>
          <w:sz w:val="24"/>
          <w:szCs w:val="24"/>
          <w:lang w:val="en-GB"/>
        </w:rPr>
        <w:t>.</w:t>
      </w:r>
      <w:r w:rsidRPr="008F3A1A">
        <w:rPr>
          <w:rFonts w:ascii="Garamond" w:hAnsi="Garamond"/>
          <w:sz w:val="24"/>
          <w:szCs w:val="24"/>
          <w:lang w:val="en-GB"/>
        </w:rPr>
        <w:t xml:space="preserve"> The Applicant also claim</w:t>
      </w:r>
      <w:r>
        <w:rPr>
          <w:rFonts w:ascii="Garamond" w:hAnsi="Garamond"/>
          <w:sz w:val="24"/>
          <w:szCs w:val="24"/>
          <w:lang w:val="en-GB"/>
        </w:rPr>
        <w:t>s</w:t>
      </w:r>
      <w:r w:rsidRPr="008F3A1A">
        <w:rPr>
          <w:rFonts w:ascii="Garamond" w:hAnsi="Garamond"/>
          <w:sz w:val="24"/>
          <w:szCs w:val="24"/>
          <w:lang w:val="en-GB"/>
        </w:rPr>
        <w:t xml:space="preserve"> the </w:t>
      </w:r>
      <w:r w:rsidRPr="002D1C46">
        <w:rPr>
          <w:rFonts w:ascii="Garamond" w:hAnsi="Garamond"/>
          <w:sz w:val="24"/>
          <w:szCs w:val="24"/>
          <w:lang w:val="en-GB"/>
        </w:rPr>
        <w:t>costs and expenses of legal proceedings before the Court</w:t>
      </w:r>
      <w:r w:rsidRPr="008F3A1A">
        <w:rPr>
          <w:rFonts w:ascii="Garamond" w:hAnsi="Garamond"/>
          <w:sz w:val="24"/>
          <w:szCs w:val="24"/>
          <w:lang w:val="en-GB"/>
        </w:rPr>
        <w:t>.</w:t>
      </w:r>
    </w:p>
    <w:p w14:paraId="19EAC8E0" w14:textId="77777777" w:rsidR="008D4DEB" w:rsidRPr="008F3A1A" w:rsidRDefault="008D4DEB" w:rsidP="008D4DEB">
      <w:pPr>
        <w:spacing w:beforeLines="60" w:before="144" w:afterLines="60" w:after="144" w:line="360" w:lineRule="auto"/>
        <w:jc w:val="center"/>
        <w:rPr>
          <w:rFonts w:ascii="Garamond" w:hAnsi="Garamond" w:cs="Times New Roman"/>
          <w:lang w:val="en-GB"/>
        </w:rPr>
      </w:pPr>
      <w:r w:rsidRPr="008F3A1A">
        <w:rPr>
          <w:rFonts w:ascii="Garamond" w:hAnsi="Garamond" w:cs="Times New Roman"/>
          <w:lang w:val="en-GB"/>
        </w:rPr>
        <w:t>*</w:t>
      </w:r>
    </w:p>
    <w:p w14:paraId="5F29067A" w14:textId="77777777" w:rsidR="008D4DEB" w:rsidRPr="005A7FBC" w:rsidRDefault="008D4DEB" w:rsidP="008D4DEB">
      <w:pPr>
        <w:spacing w:after="240"/>
        <w:jc w:val="both"/>
        <w:rPr>
          <w:rFonts w:ascii="Garamond" w:hAnsi="Garamond"/>
          <w:lang w:val="en-GB"/>
        </w:rPr>
      </w:pPr>
    </w:p>
    <w:p w14:paraId="67FE2D91" w14:textId="77777777" w:rsidR="008D4DEB" w:rsidRPr="008D4DEB" w:rsidRDefault="008D4DEB" w:rsidP="008D4DEB">
      <w:pPr>
        <w:rPr>
          <w:lang w:val="fr-FR"/>
        </w:rPr>
      </w:pPr>
    </w:p>
    <w:sectPr w:rsidR="008D4DEB" w:rsidRPr="008D4DEB" w:rsidSect="00734678">
      <w:headerReference w:type="default" r:id="rId9"/>
      <w:footerReference w:type="even" r:id="rId10"/>
      <w:footerReference w:type="default" r:id="rId11"/>
      <w:headerReference w:type="first" r:id="rId12"/>
      <w:pgSz w:w="11906" w:h="16838"/>
      <w:pgMar w:top="1134" w:right="1134" w:bottom="1247" w:left="1134" w:header="51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8BDED" w14:textId="77777777" w:rsidR="002F0D26" w:rsidRDefault="002F0D26" w:rsidP="009D00EA">
      <w:r>
        <w:separator/>
      </w:r>
    </w:p>
  </w:endnote>
  <w:endnote w:type="continuationSeparator" w:id="0">
    <w:p w14:paraId="2BD2B591" w14:textId="77777777" w:rsidR="002F0D26" w:rsidRDefault="002F0D26" w:rsidP="009D00EA">
      <w:r>
        <w:continuationSeparator/>
      </w:r>
    </w:p>
  </w:endnote>
  <w:endnote w:type="continuationNotice" w:id="1">
    <w:p w14:paraId="1B3B0051" w14:textId="77777777" w:rsidR="002F0D26" w:rsidRDefault="002F0D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IDFont+F1">
    <w:altName w:val="Yu Gothic"/>
    <w:panose1 w:val="00000000000000000000"/>
    <w:charset w:val="80"/>
    <w:family w:val="auto"/>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Calibri-Italic">
    <w:altName w:val="MS Gothic"/>
    <w:panose1 w:val="00000000000000000000"/>
    <w:charset w:val="80"/>
    <w:family w:val="auto"/>
    <w:notTrueType/>
    <w:pitch w:val="default"/>
    <w:sig w:usb0="00000003" w:usb1="08070000" w:usb2="00000010" w:usb3="00000000" w:csb0="00020001" w:csb1="00000000"/>
  </w:font>
  <w:font w:name="TimesNewRomanPS-ItalicMT">
    <w:altName w:val="Yu Gothic"/>
    <w:charset w:val="80"/>
    <w:family w:val="auto"/>
    <w:pitch w:val="default"/>
    <w:sig w:usb0="00000001" w:usb1="08070000" w:usb2="00000010" w:usb3="00000000" w:csb0="00020000" w:csb1="00000000"/>
  </w:font>
  <w:font w:name="Times-Italic">
    <w:panose1 w:val="00000000000000000000"/>
    <w:charset w:val="00"/>
    <w:family w:val="auto"/>
    <w:notTrueType/>
    <w:pitch w:val="variable"/>
    <w:sig w:usb0="E00002FF" w:usb1="5000205A" w:usb2="00000000" w:usb3="00000000" w:csb0="0000019F" w:csb1="00000000"/>
  </w:font>
  <w:font w:name="ñ-VŒ˛">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912D3" w14:textId="246B4E20" w:rsidR="00AC2774" w:rsidRDefault="00AC2774" w:rsidP="001331E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14:paraId="729D7F49" w14:textId="77777777" w:rsidR="00AC2774" w:rsidRDefault="00AC2774" w:rsidP="002B4F9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86723861"/>
      <w:docPartObj>
        <w:docPartGallery w:val="Page Numbers (Bottom of Page)"/>
        <w:docPartUnique/>
      </w:docPartObj>
    </w:sdtPr>
    <w:sdtEndPr>
      <w:rPr>
        <w:rStyle w:val="Numrodepage"/>
        <w:rFonts w:ascii="Times New Roman" w:hAnsi="Times New Roman" w:cs="Times New Roman"/>
      </w:rPr>
    </w:sdtEndPr>
    <w:sdtContent>
      <w:p w14:paraId="3839A1A3" w14:textId="1B4C3298" w:rsidR="00AC2774" w:rsidRDefault="00AC2774" w:rsidP="00AA353D">
        <w:pPr>
          <w:pStyle w:val="Pieddepage"/>
          <w:framePr w:wrap="none" w:vAnchor="text" w:hAnchor="page" w:x="10619" w:y="-259"/>
          <w:rPr>
            <w:rStyle w:val="Numrodepage"/>
          </w:rPr>
        </w:pPr>
        <w:r w:rsidRPr="008D4DEB">
          <w:rPr>
            <w:rStyle w:val="Numrodepage"/>
            <w:rFonts w:ascii="Times New Roman" w:hAnsi="Times New Roman" w:cs="Times New Roman"/>
            <w:sz w:val="20"/>
            <w:szCs w:val="20"/>
          </w:rPr>
          <w:fldChar w:fldCharType="begin"/>
        </w:r>
        <w:r w:rsidRPr="008D4DEB">
          <w:rPr>
            <w:rStyle w:val="Numrodepage"/>
            <w:rFonts w:ascii="Times New Roman" w:hAnsi="Times New Roman" w:cs="Times New Roman"/>
            <w:sz w:val="20"/>
            <w:szCs w:val="20"/>
          </w:rPr>
          <w:instrText xml:space="preserve"> PAGE </w:instrText>
        </w:r>
        <w:r w:rsidRPr="008D4DEB">
          <w:rPr>
            <w:rStyle w:val="Numrodepage"/>
            <w:rFonts w:ascii="Times New Roman" w:hAnsi="Times New Roman" w:cs="Times New Roman"/>
            <w:sz w:val="20"/>
            <w:szCs w:val="20"/>
          </w:rPr>
          <w:fldChar w:fldCharType="separate"/>
        </w:r>
        <w:r w:rsidRPr="008D4DEB">
          <w:rPr>
            <w:rStyle w:val="Numrodepage"/>
            <w:rFonts w:ascii="Times New Roman" w:hAnsi="Times New Roman" w:cs="Times New Roman"/>
            <w:noProof/>
            <w:sz w:val="20"/>
            <w:szCs w:val="20"/>
          </w:rPr>
          <w:t>17</w:t>
        </w:r>
        <w:r w:rsidRPr="008D4DEB">
          <w:rPr>
            <w:rStyle w:val="Numrodepage"/>
            <w:rFonts w:ascii="Times New Roman" w:hAnsi="Times New Roman" w:cs="Times New Roman"/>
            <w:sz w:val="20"/>
            <w:szCs w:val="20"/>
          </w:rPr>
          <w:fldChar w:fldCharType="end"/>
        </w:r>
      </w:p>
    </w:sdtContent>
  </w:sdt>
  <w:p w14:paraId="0290A9B3" w14:textId="4490C286" w:rsidR="00AC2774" w:rsidRDefault="00AC2774" w:rsidP="0073467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4A90B" w14:textId="77777777" w:rsidR="002F0D26" w:rsidRDefault="002F0D26" w:rsidP="009D00EA">
      <w:r>
        <w:separator/>
      </w:r>
    </w:p>
  </w:footnote>
  <w:footnote w:type="continuationSeparator" w:id="0">
    <w:p w14:paraId="590B6786" w14:textId="77777777" w:rsidR="002F0D26" w:rsidRDefault="002F0D26" w:rsidP="009D00EA">
      <w:r>
        <w:continuationSeparator/>
      </w:r>
    </w:p>
  </w:footnote>
  <w:footnote w:type="continuationNotice" w:id="1">
    <w:p w14:paraId="071F585B" w14:textId="77777777" w:rsidR="002F0D26" w:rsidRDefault="002F0D26"/>
  </w:footnote>
  <w:footnote w:id="2">
    <w:p w14:paraId="43EA4CA3" w14:textId="77777777" w:rsidR="008D4DEB" w:rsidRPr="00F94F4E" w:rsidRDefault="008D4DEB" w:rsidP="008D4DEB">
      <w:pPr>
        <w:pStyle w:val="Notedebasdepage"/>
        <w:jc w:val="both"/>
        <w:rPr>
          <w:rFonts w:ascii="Garamond" w:hAnsi="Garamond"/>
          <w:lang w:val="en-GB"/>
        </w:rPr>
      </w:pPr>
      <w:r w:rsidRPr="00F94F4E">
        <w:rPr>
          <w:rStyle w:val="Appelnotedebasdep"/>
          <w:rFonts w:ascii="Garamond" w:hAnsi="Garamond"/>
        </w:rPr>
        <w:footnoteRef/>
      </w:r>
      <w:r w:rsidRPr="00F94F4E">
        <w:rPr>
          <w:rFonts w:ascii="Garamond" w:hAnsi="Garamond"/>
          <w:lang w:val="en-GB"/>
        </w:rPr>
        <w:t xml:space="preserve"> IPCC, </w:t>
      </w:r>
      <w:r w:rsidRPr="00F94F4E">
        <w:rPr>
          <w:rFonts w:ascii="Garamond" w:hAnsi="Garamond" w:cs="Times New Roman"/>
          <w:lang w:val="en-GB"/>
        </w:rPr>
        <w:t>AR6-WGII, Summary for Policymakers, p. 8; CIEL and HBS, “Beyond the Limits: New IPCC Working Group II Report Highlights How Gambling on Overshoot is Pushing the Planet Past a Point of No Return” (28 Feb. 2022), p. 6.</w:t>
      </w:r>
    </w:p>
  </w:footnote>
  <w:footnote w:id="3">
    <w:p w14:paraId="0E8AECA6" w14:textId="77777777" w:rsidR="008D4DEB" w:rsidRPr="00F94F4E" w:rsidRDefault="008D4DEB" w:rsidP="008D4DEB">
      <w:pPr>
        <w:pStyle w:val="Notedebasdepage"/>
        <w:jc w:val="both"/>
        <w:rPr>
          <w:rFonts w:ascii="Garamond" w:hAnsi="Garamond"/>
          <w:lang w:val="en-GB"/>
        </w:rPr>
      </w:pPr>
      <w:r w:rsidRPr="00F94F4E">
        <w:rPr>
          <w:rStyle w:val="Appelnotedebasdep"/>
          <w:rFonts w:ascii="Garamond" w:hAnsi="Garamond"/>
        </w:rPr>
        <w:footnoteRef/>
      </w:r>
      <w:r w:rsidRPr="00F94F4E">
        <w:rPr>
          <w:rFonts w:ascii="Garamond" w:hAnsi="Garamond"/>
          <w:lang w:val="en-GB"/>
        </w:rPr>
        <w:t xml:space="preserve"> </w:t>
      </w:r>
      <w:r w:rsidRPr="00F94F4E">
        <w:rPr>
          <w:rFonts w:ascii="Garamond" w:hAnsi="Garamond"/>
          <w:lang w:val="en-US"/>
        </w:rPr>
        <w:t>Human Rights Council, Resolution “The human right to a safe, clean, healthy and sustainable environment”, A/HRC/48/L.23/Rev.1 (18 October 2021)</w:t>
      </w:r>
      <w:r w:rsidRPr="00F94F4E">
        <w:rPr>
          <w:rFonts w:ascii="Garamond" w:hAnsi="Garamond" w:cs="Times New Roman"/>
          <w:lang w:val="en-GB"/>
        </w:rPr>
        <w:t xml:space="preserve">; </w:t>
      </w:r>
      <w:r w:rsidRPr="00F94F4E">
        <w:rPr>
          <w:rFonts w:ascii="Garamond" w:hAnsi="Garamond"/>
          <w:lang w:val="en-US"/>
        </w:rPr>
        <w:t>Human Rights Council, Resolution “Human rights and climate change”, A/HRC/RES/41/21 (12 July 2019)</w:t>
      </w:r>
      <w:r w:rsidRPr="00F94F4E">
        <w:rPr>
          <w:rFonts w:ascii="Garamond" w:hAnsi="Garamond" w:cs="Times New Roman"/>
          <w:lang w:val="en-GB"/>
        </w:rPr>
        <w:t xml:space="preserve">; </w:t>
      </w:r>
      <w:r w:rsidRPr="00F94F4E">
        <w:rPr>
          <w:rFonts w:ascii="Garamond" w:hAnsi="Garamond"/>
          <w:lang w:val="en-US"/>
        </w:rPr>
        <w:t>European Parliament, Resolution, The effects of climate change on human rights and the role of environmental defenders on this matter, 2020/2134(INI) (19 May 2021)</w:t>
      </w:r>
      <w:r w:rsidRPr="00F94F4E">
        <w:rPr>
          <w:rFonts w:ascii="Garamond" w:hAnsi="Garamond" w:cs="Times New Roman"/>
          <w:lang w:val="en-GB"/>
        </w:rPr>
        <w:t>.</w:t>
      </w:r>
    </w:p>
  </w:footnote>
  <w:footnote w:id="4">
    <w:p w14:paraId="02A55135" w14:textId="77777777" w:rsidR="008D4DEB" w:rsidRPr="00F94F4E" w:rsidRDefault="008D4DEB" w:rsidP="008D4DEB">
      <w:pPr>
        <w:jc w:val="both"/>
        <w:rPr>
          <w:rFonts w:ascii="Garamond" w:hAnsi="Garamond" w:cs="Times New Roman"/>
          <w:sz w:val="20"/>
          <w:szCs w:val="20"/>
          <w:lang w:val="en-GB"/>
        </w:rPr>
      </w:pPr>
      <w:r w:rsidRPr="00F94F4E">
        <w:rPr>
          <w:rStyle w:val="Appelnotedebasdep"/>
          <w:rFonts w:ascii="Garamond" w:hAnsi="Garamond"/>
          <w:sz w:val="20"/>
          <w:szCs w:val="20"/>
        </w:rPr>
        <w:footnoteRef/>
      </w:r>
      <w:r w:rsidRPr="00F94F4E">
        <w:rPr>
          <w:rFonts w:ascii="Garamond" w:hAnsi="Garamond"/>
          <w:sz w:val="20"/>
          <w:szCs w:val="20"/>
          <w:lang w:val="en-GB"/>
        </w:rPr>
        <w:t xml:space="preserve"> </w:t>
      </w:r>
      <w:r w:rsidRPr="00F94F4E">
        <w:rPr>
          <w:rFonts w:ascii="Garamond" w:hAnsi="Garamond"/>
          <w:sz w:val="20"/>
          <w:szCs w:val="20"/>
          <w:lang w:val="en-US"/>
        </w:rPr>
        <w:t>IPCC, AR6-WGI, Summary for Policymakers</w:t>
      </w:r>
      <w:r w:rsidRPr="00F94F4E">
        <w:rPr>
          <w:rFonts w:ascii="Garamond" w:hAnsi="Garamond" w:cs="Times New Roman"/>
          <w:sz w:val="20"/>
          <w:szCs w:val="20"/>
          <w:lang w:val="en-GB"/>
        </w:rPr>
        <w:t>, §A.1.2.</w:t>
      </w:r>
    </w:p>
  </w:footnote>
  <w:footnote w:id="5">
    <w:p w14:paraId="1B291AE0" w14:textId="77777777" w:rsidR="008D4DEB" w:rsidRPr="00F94F4E" w:rsidRDefault="008D4DEB" w:rsidP="008D4DEB">
      <w:pPr>
        <w:jc w:val="both"/>
        <w:rPr>
          <w:rFonts w:ascii="Garamond" w:hAnsi="Garamond" w:cs="Times New Roman"/>
          <w:sz w:val="20"/>
          <w:szCs w:val="20"/>
          <w:lang w:val="en-GB"/>
        </w:rPr>
      </w:pPr>
      <w:r w:rsidRPr="00F94F4E">
        <w:rPr>
          <w:rStyle w:val="Appelnotedebasdep"/>
          <w:rFonts w:ascii="Garamond" w:hAnsi="Garamond"/>
          <w:sz w:val="20"/>
          <w:szCs w:val="20"/>
        </w:rPr>
        <w:footnoteRef/>
      </w:r>
      <w:r w:rsidRPr="00F94F4E">
        <w:rPr>
          <w:rFonts w:ascii="Garamond" w:hAnsi="Garamond"/>
          <w:sz w:val="20"/>
          <w:szCs w:val="20"/>
          <w:lang w:val="en-GB"/>
        </w:rPr>
        <w:t xml:space="preserve"> </w:t>
      </w:r>
      <w:r w:rsidRPr="00F94F4E">
        <w:rPr>
          <w:rFonts w:ascii="Garamond" w:hAnsi="Garamond"/>
          <w:i/>
          <w:sz w:val="20"/>
          <w:szCs w:val="20"/>
          <w:lang w:val="en-GB"/>
        </w:rPr>
        <w:t>ibid.</w:t>
      </w:r>
      <w:r w:rsidRPr="00F94F4E">
        <w:rPr>
          <w:rFonts w:ascii="Garamond" w:hAnsi="Garamond"/>
          <w:sz w:val="20"/>
          <w:szCs w:val="20"/>
          <w:lang w:val="en-GB"/>
        </w:rPr>
        <w:t xml:space="preserve">, </w:t>
      </w:r>
      <w:r w:rsidRPr="00F94F4E">
        <w:rPr>
          <w:rFonts w:ascii="Garamond" w:hAnsi="Garamond" w:cs="Times New Roman"/>
          <w:sz w:val="20"/>
          <w:szCs w:val="20"/>
          <w:lang w:val="en-GB"/>
        </w:rPr>
        <w:t xml:space="preserve">paras B.1 ff; </w:t>
      </w:r>
      <w:r w:rsidRPr="00F94F4E">
        <w:rPr>
          <w:rFonts w:ascii="Garamond" w:hAnsi="Garamond"/>
          <w:sz w:val="20"/>
          <w:szCs w:val="20"/>
          <w:lang w:val="en-US"/>
        </w:rPr>
        <w:t>IPCC, AR6-WGII, Technical Summary,</w:t>
      </w:r>
      <w:r w:rsidRPr="00F94F4E">
        <w:rPr>
          <w:rFonts w:ascii="Garamond" w:hAnsi="Garamond"/>
          <w:sz w:val="20"/>
          <w:szCs w:val="20"/>
          <w:lang w:val="en-GB"/>
        </w:rPr>
        <w:t xml:space="preserve"> Box TS.2 at TS-8.</w:t>
      </w:r>
    </w:p>
  </w:footnote>
  <w:footnote w:id="6">
    <w:p w14:paraId="12F8B4D5" w14:textId="77777777" w:rsidR="008D4DEB" w:rsidRPr="00F94F4E" w:rsidRDefault="008D4DEB" w:rsidP="008D4DEB">
      <w:pPr>
        <w:jc w:val="both"/>
        <w:rPr>
          <w:rFonts w:ascii="Garamond" w:hAnsi="Garamond"/>
          <w:sz w:val="20"/>
          <w:szCs w:val="20"/>
          <w:lang w:val="en-GB"/>
        </w:rPr>
      </w:pPr>
      <w:r w:rsidRPr="00F94F4E">
        <w:rPr>
          <w:rStyle w:val="Appelnotedebasdep"/>
          <w:rFonts w:ascii="Garamond" w:hAnsi="Garamond"/>
          <w:sz w:val="20"/>
          <w:szCs w:val="20"/>
        </w:rPr>
        <w:footnoteRef/>
      </w:r>
      <w:r w:rsidRPr="00F94F4E">
        <w:rPr>
          <w:rFonts w:ascii="Garamond" w:hAnsi="Garamond"/>
          <w:sz w:val="20"/>
          <w:szCs w:val="20"/>
          <w:lang w:val="en-GB"/>
        </w:rPr>
        <w:t xml:space="preserve"> </w:t>
      </w:r>
      <w:r w:rsidRPr="00F94F4E">
        <w:rPr>
          <w:rFonts w:ascii="Garamond" w:hAnsi="Garamond"/>
          <w:sz w:val="20"/>
          <w:szCs w:val="20"/>
          <w:lang w:val="en-US"/>
        </w:rPr>
        <w:t>IPCC, AR6-WGI, Summary for Policymakers</w:t>
      </w:r>
      <w:r w:rsidRPr="00F94F4E">
        <w:rPr>
          <w:rFonts w:ascii="Garamond" w:hAnsi="Garamond" w:cs="Times New Roman"/>
          <w:sz w:val="20"/>
          <w:szCs w:val="20"/>
          <w:lang w:val="en-GB"/>
        </w:rPr>
        <w:t>, §§B.5 and B.2.2; IPCC, AR6-WGII, Summary for Policymakers, §B.3; CIEL and HBS (28 Feb. 2022), pp. 1-6.</w:t>
      </w:r>
    </w:p>
  </w:footnote>
  <w:footnote w:id="7">
    <w:p w14:paraId="6A3E155C" w14:textId="77777777" w:rsidR="008D4DEB" w:rsidRPr="00F94F4E" w:rsidRDefault="008D4DEB" w:rsidP="008D4DEB">
      <w:pPr>
        <w:pStyle w:val="Notedebasdepage"/>
        <w:jc w:val="both"/>
        <w:rPr>
          <w:rFonts w:ascii="Garamond" w:hAnsi="Garamond"/>
          <w:lang w:val="en-GB"/>
        </w:rPr>
      </w:pPr>
      <w:r w:rsidRPr="00F94F4E">
        <w:rPr>
          <w:rStyle w:val="Appelnotedebasdep"/>
          <w:rFonts w:ascii="Garamond" w:hAnsi="Garamond"/>
        </w:rPr>
        <w:footnoteRef/>
      </w:r>
      <w:r w:rsidRPr="00F94F4E">
        <w:rPr>
          <w:rFonts w:ascii="Garamond" w:hAnsi="Garamond"/>
          <w:lang w:val="en-GB"/>
        </w:rPr>
        <w:t xml:space="preserve"> </w:t>
      </w:r>
      <w:r w:rsidRPr="00F94F4E">
        <w:rPr>
          <w:rFonts w:ascii="Garamond" w:hAnsi="Garamond" w:cs="Times New Roman"/>
          <w:lang w:val="en-GB"/>
        </w:rPr>
        <w:t>IPCC, AR6-WGII – Impacts of the climate change (annexed quotes).</w:t>
      </w:r>
    </w:p>
  </w:footnote>
  <w:footnote w:id="8">
    <w:p w14:paraId="6AC65D49" w14:textId="77777777" w:rsidR="008D4DEB" w:rsidRPr="00F94F4E" w:rsidRDefault="008D4DEB" w:rsidP="008D4DEB">
      <w:pPr>
        <w:pStyle w:val="Notedebasdepage"/>
        <w:jc w:val="both"/>
        <w:rPr>
          <w:rFonts w:ascii="Garamond" w:hAnsi="Garamond"/>
          <w:lang w:val="en-GB"/>
        </w:rPr>
      </w:pPr>
      <w:r w:rsidRPr="00F94F4E">
        <w:rPr>
          <w:rStyle w:val="Appelnotedebasdep"/>
          <w:rFonts w:ascii="Garamond" w:hAnsi="Garamond"/>
        </w:rPr>
        <w:footnoteRef/>
      </w:r>
      <w:r w:rsidRPr="00F94F4E">
        <w:rPr>
          <w:rFonts w:ascii="Garamond" w:hAnsi="Garamond"/>
          <w:lang w:val="en-GB"/>
        </w:rPr>
        <w:t xml:space="preserve"> </w:t>
      </w:r>
      <w:r w:rsidRPr="00F94F4E">
        <w:rPr>
          <w:rFonts w:ascii="Garamond" w:hAnsi="Garamond"/>
          <w:lang w:val="en-US"/>
        </w:rPr>
        <w:t>UNCC, Press Release ““Climate Commitments Not On Track to Meet Paris Agreement Goals” as NDC Synthesis Report is Published” (26 February 2021)</w:t>
      </w:r>
      <w:r w:rsidRPr="00F94F4E">
        <w:rPr>
          <w:rFonts w:ascii="Garamond" w:hAnsi="Garamond"/>
          <w:lang w:val="en-GB"/>
        </w:rPr>
        <w:t xml:space="preserve">; </w:t>
      </w:r>
      <w:r w:rsidRPr="00F94F4E">
        <w:rPr>
          <w:rFonts w:ascii="Garamond" w:hAnsi="Garamond" w:cs="Times New Roman"/>
          <w:lang w:val="en-GB"/>
        </w:rPr>
        <w:t>AR6-WGIII, Summary for Policymakers, §§B.6, C.1 and C.3; IPCC, AR6-WGIII, Technical Summary, pp. 29 and 43-44.</w:t>
      </w:r>
    </w:p>
  </w:footnote>
  <w:footnote w:id="9">
    <w:p w14:paraId="56F5A4D1" w14:textId="77777777" w:rsidR="008D4DEB" w:rsidRPr="00F94F4E" w:rsidRDefault="008D4DEB" w:rsidP="008D4DEB">
      <w:pPr>
        <w:pStyle w:val="Notedebasdepage"/>
        <w:jc w:val="both"/>
        <w:rPr>
          <w:rFonts w:ascii="Garamond" w:hAnsi="Garamond"/>
          <w:lang w:val="en-GB"/>
        </w:rPr>
      </w:pPr>
      <w:r w:rsidRPr="00F94F4E">
        <w:rPr>
          <w:rStyle w:val="Appelnotedebasdep"/>
          <w:rFonts w:ascii="Garamond" w:hAnsi="Garamond"/>
        </w:rPr>
        <w:footnoteRef/>
      </w:r>
      <w:r w:rsidRPr="00F94F4E">
        <w:rPr>
          <w:rFonts w:ascii="Garamond" w:hAnsi="Garamond"/>
          <w:lang w:val="en-GB"/>
        </w:rPr>
        <w:t xml:space="preserve"> </w:t>
      </w:r>
      <w:r w:rsidRPr="00F94F4E">
        <w:rPr>
          <w:rFonts w:ascii="Garamond" w:hAnsi="Garamond"/>
          <w:lang w:val="en-US"/>
        </w:rPr>
        <w:t xml:space="preserve">IPCC, </w:t>
      </w:r>
      <w:r w:rsidRPr="00F94F4E">
        <w:rPr>
          <w:rFonts w:ascii="Garamond" w:hAnsi="Garamond" w:cs="Times New Roman"/>
          <w:lang w:val="en-GB"/>
        </w:rPr>
        <w:t xml:space="preserve">AR6-WGIII, Summary for Policymakers, </w:t>
      </w:r>
      <w:r w:rsidRPr="00F94F4E">
        <w:rPr>
          <w:rFonts w:ascii="Garamond" w:hAnsi="Garamond"/>
          <w:lang w:val="en-GB"/>
        </w:rPr>
        <w:t>§§C1 and C.1.1.</w:t>
      </w:r>
    </w:p>
  </w:footnote>
  <w:footnote w:id="10">
    <w:p w14:paraId="28C0C3F6"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lang w:val="en-GB"/>
        </w:rPr>
        <w:footnoteRef/>
      </w:r>
      <w:r w:rsidRPr="00F94F4E">
        <w:rPr>
          <w:rFonts w:ascii="Garamond" w:hAnsi="Garamond" w:cs="Times New Roman"/>
          <w:lang w:val="en-GB"/>
        </w:rPr>
        <w:t xml:space="preserve"> </w:t>
      </w:r>
      <w:bookmarkStart w:id="0" w:name="_Hlk106201690"/>
      <w:bookmarkStart w:id="1" w:name="_Hlk105750258"/>
      <w:r w:rsidRPr="00F94F4E">
        <w:rPr>
          <w:rFonts w:ascii="Garamond" w:hAnsi="Garamond" w:cs="Times New Roman"/>
          <w:lang w:val="en-GB"/>
        </w:rPr>
        <w:t xml:space="preserve">UNEP, </w:t>
      </w:r>
      <w:r w:rsidRPr="00F94F4E">
        <w:rPr>
          <w:rFonts w:ascii="Garamond" w:hAnsi="Garamond"/>
          <w:lang w:val="en-GB"/>
        </w:rPr>
        <w:t xml:space="preserve">Production Gap Report 2021, Chapter 6 </w:t>
      </w:r>
      <w:r w:rsidRPr="00F94F4E">
        <w:rPr>
          <w:rFonts w:ascii="Garamond" w:hAnsi="Garamond" w:cs="Times New Roman"/>
          <w:lang w:val="en-GB"/>
        </w:rPr>
        <w:t>(October 2021)</w:t>
      </w:r>
      <w:r w:rsidRPr="00F94F4E">
        <w:rPr>
          <w:rFonts w:ascii="Garamond" w:hAnsi="Garamond"/>
          <w:lang w:val="en-GB"/>
        </w:rPr>
        <w:t xml:space="preserve">, </w:t>
      </w:r>
      <w:bookmarkEnd w:id="0"/>
      <w:r w:rsidRPr="00F94F4E">
        <w:rPr>
          <w:rFonts w:ascii="Garamond" w:hAnsi="Garamond"/>
          <w:lang w:val="en-GB"/>
        </w:rPr>
        <w:t>p. 65</w:t>
      </w:r>
      <w:r w:rsidRPr="00F94F4E">
        <w:rPr>
          <w:rFonts w:ascii="Garamond" w:hAnsi="Garamond" w:cs="Times New Roman"/>
          <w:lang w:val="en-GB"/>
        </w:rPr>
        <w:t>.</w:t>
      </w:r>
      <w:bookmarkEnd w:id="1"/>
    </w:p>
  </w:footnote>
  <w:footnote w:id="11">
    <w:p w14:paraId="062A8CA3"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rPr>
        <w:footnoteRef/>
      </w:r>
      <w:r w:rsidRPr="00F94F4E">
        <w:rPr>
          <w:rFonts w:ascii="Garamond" w:hAnsi="Garamond" w:cs="Times New Roman"/>
          <w:lang w:val="en-GB"/>
        </w:rPr>
        <w:t xml:space="preserve"> AR6-WGIII, Summary for Policymakers, §B.7; AR6-WGIII, Technical Summary, p. 54; </w:t>
      </w:r>
      <w:bookmarkStart w:id="2" w:name="_Hlk105750265"/>
      <w:bookmarkStart w:id="3" w:name="_Hlk106201704"/>
      <w:r w:rsidRPr="00F94F4E">
        <w:rPr>
          <w:rFonts w:ascii="Garamond" w:hAnsi="Garamond" w:cs="Times New Roman"/>
          <w:lang w:val="en-GB"/>
        </w:rPr>
        <w:t xml:space="preserve">UNEP, </w:t>
      </w:r>
      <w:r w:rsidRPr="00F94F4E">
        <w:rPr>
          <w:rFonts w:ascii="Garamond" w:hAnsi="Garamond"/>
          <w:lang w:val="en-GB"/>
        </w:rPr>
        <w:t xml:space="preserve">Production Gap Report 2021 (Executive Summary) </w:t>
      </w:r>
      <w:r w:rsidRPr="00F94F4E">
        <w:rPr>
          <w:rFonts w:ascii="Garamond" w:hAnsi="Garamond" w:cs="Times New Roman"/>
          <w:lang w:val="en-GB"/>
        </w:rPr>
        <w:t>(October 2021)</w:t>
      </w:r>
      <w:bookmarkEnd w:id="2"/>
      <w:r w:rsidRPr="00F94F4E">
        <w:rPr>
          <w:rFonts w:ascii="Garamond" w:hAnsi="Garamond"/>
          <w:lang w:val="en-GB"/>
        </w:rPr>
        <w:t>.</w:t>
      </w:r>
      <w:bookmarkEnd w:id="3"/>
    </w:p>
  </w:footnote>
  <w:footnote w:id="12">
    <w:p w14:paraId="2961FBA5"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rPr>
        <w:footnoteRef/>
      </w:r>
      <w:r w:rsidRPr="00F94F4E">
        <w:rPr>
          <w:rFonts w:ascii="Garamond" w:hAnsi="Garamond" w:cs="Times New Roman"/>
          <w:lang w:val="en-GB"/>
        </w:rPr>
        <w:t xml:space="preserve"> AR6-WGIII, Summary for Policymakers, §C.4; CIEL and HBS (21 April 2022), p. 21.</w:t>
      </w:r>
    </w:p>
  </w:footnote>
  <w:footnote w:id="13">
    <w:p w14:paraId="2EFFA5C9" w14:textId="77777777" w:rsidR="008D4DEB" w:rsidRPr="00F94F4E" w:rsidRDefault="008D4DEB" w:rsidP="008D4DEB">
      <w:pPr>
        <w:pStyle w:val="Notedebasdepage"/>
        <w:jc w:val="both"/>
        <w:rPr>
          <w:rFonts w:ascii="Garamond" w:hAnsi="Garamond"/>
          <w:lang w:val="en-GB"/>
        </w:rPr>
      </w:pPr>
      <w:r w:rsidRPr="00F94F4E">
        <w:rPr>
          <w:rStyle w:val="Appelnotedebasdep"/>
          <w:rFonts w:ascii="Garamond" w:hAnsi="Garamond"/>
        </w:rPr>
        <w:footnoteRef/>
      </w:r>
      <w:r w:rsidRPr="00F94F4E">
        <w:rPr>
          <w:rFonts w:ascii="Garamond" w:hAnsi="Garamond"/>
          <w:lang w:val="en-GB"/>
        </w:rPr>
        <w:t xml:space="preserve"> </w:t>
      </w:r>
      <w:r w:rsidRPr="00F94F4E">
        <w:rPr>
          <w:rFonts w:ascii="Garamond" w:hAnsi="Garamond" w:cs="Times New Roman"/>
          <w:lang w:val="en-GB"/>
        </w:rPr>
        <w:t>AR6-WGIII, Summary for Policymakers, §C.4; CIEL and HBS (28 Feb. 2022), pp. 6 and 11; CIEL and HBS (21 April 2022), p. 20.</w:t>
      </w:r>
    </w:p>
  </w:footnote>
  <w:footnote w:id="14">
    <w:p w14:paraId="2087D661"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lang w:val="en-GB"/>
        </w:rPr>
        <w:footnoteRef/>
      </w:r>
      <w:r w:rsidRPr="00F94F4E">
        <w:rPr>
          <w:rFonts w:ascii="Garamond" w:hAnsi="Garamond" w:cs="Times New Roman"/>
          <w:lang w:val="en-GB"/>
        </w:rPr>
        <w:t xml:space="preserve"> UNEP, </w:t>
      </w:r>
      <w:r w:rsidRPr="00F94F4E">
        <w:rPr>
          <w:rFonts w:ascii="Garamond" w:hAnsi="Garamond"/>
          <w:lang w:val="en-GB"/>
        </w:rPr>
        <w:t xml:space="preserve">Production Gap Report 2021, Chapter 6 </w:t>
      </w:r>
      <w:r w:rsidRPr="00F94F4E">
        <w:rPr>
          <w:rFonts w:ascii="Garamond" w:hAnsi="Garamond" w:cs="Times New Roman"/>
          <w:lang w:val="en-GB"/>
        </w:rPr>
        <w:t>(October 2021)</w:t>
      </w:r>
      <w:r w:rsidRPr="00F94F4E">
        <w:rPr>
          <w:rFonts w:ascii="Garamond" w:hAnsi="Garamond"/>
          <w:lang w:val="en-GB"/>
        </w:rPr>
        <w:t xml:space="preserve">, p. 65; </w:t>
      </w:r>
      <w:bookmarkStart w:id="4" w:name="_Hlk106201740"/>
      <w:r w:rsidRPr="00F94F4E">
        <w:rPr>
          <w:rFonts w:ascii="Garamond" w:hAnsi="Garamond"/>
          <w:lang w:val="en-GB"/>
        </w:rPr>
        <w:t xml:space="preserve">UNEP, </w:t>
      </w:r>
      <w:r w:rsidRPr="00F94F4E">
        <w:rPr>
          <w:rFonts w:ascii="Garamond" w:hAnsi="Garamond" w:cs="Times New Roman"/>
          <w:iCs/>
          <w:lang w:val="en-GB"/>
        </w:rPr>
        <w:t>Production Gap Report 2020 (Executive Summary)</w:t>
      </w:r>
      <w:bookmarkEnd w:id="4"/>
      <w:r w:rsidRPr="00F94F4E">
        <w:rPr>
          <w:rFonts w:ascii="Garamond" w:hAnsi="Garamond" w:cs="Times New Roman"/>
          <w:lang w:val="en-GB"/>
        </w:rPr>
        <w:t>.</w:t>
      </w:r>
    </w:p>
  </w:footnote>
  <w:footnote w:id="15">
    <w:p w14:paraId="16381039" w14:textId="77777777" w:rsidR="008D4DEB" w:rsidRPr="00F94F4E" w:rsidRDefault="008D4DEB" w:rsidP="008D4DEB">
      <w:pPr>
        <w:pStyle w:val="Notedebasdepage"/>
        <w:jc w:val="both"/>
        <w:rPr>
          <w:rFonts w:ascii="Garamond" w:hAnsi="Garamond"/>
          <w:lang w:val="en-GB"/>
        </w:rPr>
      </w:pPr>
      <w:r w:rsidRPr="00F94F4E">
        <w:rPr>
          <w:rStyle w:val="Appelnotedebasdep"/>
          <w:rFonts w:ascii="Garamond" w:hAnsi="Garamond"/>
        </w:rPr>
        <w:footnoteRef/>
      </w:r>
      <w:r w:rsidRPr="00F94F4E">
        <w:rPr>
          <w:rFonts w:ascii="Garamond" w:hAnsi="Garamond"/>
          <w:lang w:val="en-GB"/>
        </w:rPr>
        <w:t xml:space="preserve"> </w:t>
      </w:r>
      <w:bookmarkStart w:id="5" w:name="_Hlk105750322"/>
      <w:r w:rsidRPr="00F94F4E">
        <w:rPr>
          <w:rFonts w:ascii="Garamond" w:hAnsi="Garamond" w:cs="Times New Roman"/>
          <w:lang w:val="en-GB"/>
        </w:rPr>
        <w:t>AR6-WGIII, Technical Summary, pp. 26</w:t>
      </w:r>
      <w:bookmarkEnd w:id="5"/>
      <w:r w:rsidRPr="00F94F4E">
        <w:rPr>
          <w:rFonts w:ascii="Garamond" w:hAnsi="Garamond" w:cs="Times New Roman"/>
          <w:lang w:val="en-GB"/>
        </w:rPr>
        <w:t xml:space="preserve"> and 54.</w:t>
      </w:r>
    </w:p>
  </w:footnote>
  <w:footnote w:id="16">
    <w:p w14:paraId="7FD30B08"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rPr>
        <w:footnoteRef/>
      </w:r>
      <w:r w:rsidRPr="00F94F4E">
        <w:rPr>
          <w:rFonts w:ascii="Garamond" w:hAnsi="Garamond" w:cs="Times New Roman"/>
          <w:lang w:val="en-GB"/>
        </w:rPr>
        <w:t xml:space="preserve"> </w:t>
      </w:r>
      <w:bookmarkStart w:id="6" w:name="_Hlk105750339"/>
      <w:r w:rsidRPr="00F94F4E">
        <w:rPr>
          <w:rFonts w:ascii="Garamond" w:eastAsia="CIDFont+F1" w:hAnsi="Garamond" w:cstheme="minorHAnsi"/>
          <w:lang w:val="en-GB"/>
        </w:rPr>
        <w:t>International Energy Agency (IEA), Net Zero by 2050: A Roadmap for the Global Energy Sector (May 2021) (Net Zero Roadmap) – Summary for Policy Makers, p. 1</w:t>
      </w:r>
      <w:bookmarkEnd w:id="6"/>
      <w:r w:rsidRPr="00F94F4E">
        <w:rPr>
          <w:rFonts w:ascii="Garamond" w:eastAsia="CIDFont+F1" w:hAnsi="Garamond" w:cstheme="minorHAnsi"/>
          <w:lang w:val="en-GB"/>
        </w:rPr>
        <w:t>1.</w:t>
      </w:r>
    </w:p>
  </w:footnote>
  <w:footnote w:id="17">
    <w:p w14:paraId="5E5B382D"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rPr>
        <w:footnoteRef/>
      </w:r>
      <w:r w:rsidRPr="00F94F4E">
        <w:rPr>
          <w:rFonts w:ascii="Garamond" w:hAnsi="Garamond" w:cs="Times New Roman"/>
          <w:lang w:val="en-GB"/>
        </w:rPr>
        <w:t xml:space="preserve"> Baldon Avocats, Summary Note on Regulatory Chill (citing IPCC, TS AR6-WGIII, p. 120; Chapter 14 AR6-WGIII, p. 81).</w:t>
      </w:r>
    </w:p>
  </w:footnote>
  <w:footnote w:id="18">
    <w:p w14:paraId="6C87035E"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lang w:val="en-GB"/>
        </w:rPr>
        <w:footnoteRef/>
      </w:r>
      <w:r w:rsidRPr="00F94F4E">
        <w:rPr>
          <w:rFonts w:ascii="Garamond" w:hAnsi="Garamond" w:cs="Times New Roman"/>
          <w:lang w:val="en-GB"/>
        </w:rPr>
        <w:t xml:space="preserve"> </w:t>
      </w:r>
      <w:r w:rsidRPr="00F94F4E">
        <w:rPr>
          <w:rFonts w:ascii="Garamond" w:hAnsi="Garamond"/>
          <w:lang w:val="en-US"/>
        </w:rPr>
        <w:t xml:space="preserve">United Nations, Human rights-compatible international investment agreements, A/76/238 (27 July 2021), </w:t>
      </w:r>
      <w:r w:rsidRPr="00F94F4E">
        <w:rPr>
          <w:rFonts w:ascii="Garamond" w:hAnsi="Garamond" w:cs="Times New Roman"/>
          <w:lang w:val="en-GB"/>
        </w:rPr>
        <w:t>§20.</w:t>
      </w:r>
    </w:p>
  </w:footnote>
  <w:footnote w:id="19">
    <w:p w14:paraId="12991201"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lang w:val="en-GB"/>
        </w:rPr>
        <w:footnoteRef/>
      </w:r>
      <w:r w:rsidRPr="00F94F4E">
        <w:rPr>
          <w:rFonts w:ascii="Garamond" w:hAnsi="Garamond" w:cs="Times New Roman"/>
          <w:lang w:val="en-GB"/>
        </w:rPr>
        <w:t xml:space="preserve"> </w:t>
      </w:r>
      <w:bookmarkStart w:id="8" w:name="_Hlk105751619"/>
      <w:r w:rsidRPr="00F94F4E">
        <w:rPr>
          <w:rFonts w:ascii="Garamond" w:hAnsi="Garamond" w:cs="Times New Roman"/>
          <w:lang w:val="en-GB"/>
        </w:rPr>
        <w:t>IISD, Compensation Under Investment Treaties (November 2020)</w:t>
      </w:r>
      <w:bookmarkEnd w:id="8"/>
      <w:r w:rsidRPr="00F94F4E">
        <w:rPr>
          <w:rFonts w:ascii="Garamond" w:hAnsi="Garamond" w:cs="Times New Roman"/>
          <w:lang w:val="en-GB"/>
        </w:rPr>
        <w:t xml:space="preserve">; </w:t>
      </w:r>
      <w:bookmarkStart w:id="9" w:name="_Hlk106371731"/>
      <w:r w:rsidRPr="00F94F4E">
        <w:rPr>
          <w:rFonts w:ascii="Garamond" w:hAnsi="Garamond" w:cs="Times New Roman"/>
          <w:lang w:val="en-GB"/>
        </w:rPr>
        <w:t>EU Parliament, A9-0166/2022,</w:t>
      </w:r>
      <w:bookmarkEnd w:id="9"/>
      <w:r w:rsidRPr="00F94F4E">
        <w:rPr>
          <w:rFonts w:ascii="Garamond" w:hAnsi="Garamond" w:cs="Times New Roman"/>
          <w:lang w:val="en-GB"/>
        </w:rPr>
        <w:t xml:space="preserve"> p. 14.</w:t>
      </w:r>
    </w:p>
  </w:footnote>
  <w:footnote w:id="20">
    <w:p w14:paraId="155476B9"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lang w:val="en-GB"/>
        </w:rPr>
        <w:footnoteRef/>
      </w:r>
      <w:r w:rsidRPr="00F94F4E">
        <w:rPr>
          <w:rFonts w:ascii="Garamond" w:hAnsi="Garamond" w:cs="Times New Roman"/>
          <w:lang w:val="en-GB"/>
        </w:rPr>
        <w:t xml:space="preserve"> IISD, Compensation Under Investment Treaties, pp. 4 and 30-31.</w:t>
      </w:r>
    </w:p>
  </w:footnote>
  <w:footnote w:id="21">
    <w:p w14:paraId="645B602F"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lang w:val="en-GB"/>
        </w:rPr>
        <w:footnoteRef/>
      </w:r>
      <w:r w:rsidRPr="00F94F4E">
        <w:rPr>
          <w:rFonts w:ascii="Garamond" w:hAnsi="Garamond" w:cs="Times New Roman"/>
          <w:lang w:val="en-GB"/>
        </w:rPr>
        <w:t xml:space="preserve"> </w:t>
      </w:r>
      <w:bookmarkStart w:id="10" w:name="_Hlk105751630"/>
      <w:r w:rsidRPr="00F94F4E">
        <w:rPr>
          <w:rFonts w:ascii="Garamond" w:hAnsi="Garamond" w:cs="Times New Roman"/>
          <w:lang w:val="en-GB"/>
        </w:rPr>
        <w:t>CCSI, “Damages in ISDS: Just Compensation or Highway Robbery? Remarks of George Kahale III” (November 2020)</w:t>
      </w:r>
      <w:bookmarkEnd w:id="10"/>
      <w:r w:rsidRPr="00F94F4E">
        <w:rPr>
          <w:rFonts w:ascii="Garamond" w:hAnsi="Garamond" w:cs="Times New Roman"/>
          <w:lang w:val="en-GB"/>
        </w:rPr>
        <w:t>; European Parliament, Report on the future of EU international investment policy: Motion for a resolution, A9-0166/2022 (May 2022), §34.</w:t>
      </w:r>
    </w:p>
  </w:footnote>
  <w:footnote w:id="22">
    <w:p w14:paraId="2085E822"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lang w:val="en-GB"/>
        </w:rPr>
        <w:footnoteRef/>
      </w:r>
      <w:r w:rsidRPr="00F94F4E">
        <w:rPr>
          <w:rFonts w:ascii="Garamond" w:hAnsi="Garamond" w:cs="Times New Roman"/>
          <w:lang w:val="en-GB"/>
        </w:rPr>
        <w:t xml:space="preserve"> </w:t>
      </w:r>
      <w:bookmarkStart w:id="12" w:name="_Hlk105751649"/>
      <w:r w:rsidRPr="00F94F4E">
        <w:rPr>
          <w:rFonts w:ascii="Garamond" w:hAnsi="Garamond" w:cs="Times New Roman"/>
          <w:lang w:val="en-GB"/>
        </w:rPr>
        <w:t xml:space="preserve">IISD, </w:t>
      </w:r>
      <w:r w:rsidRPr="00F94F4E">
        <w:rPr>
          <w:rFonts w:ascii="Garamond" w:hAnsi="Garamond"/>
          <w:lang w:val="en-GB"/>
        </w:rPr>
        <w:t>Investor-State Disputes in the Fossil Fuel Industry (December 2021)</w:t>
      </w:r>
      <w:r w:rsidRPr="00F94F4E">
        <w:rPr>
          <w:rFonts w:ascii="Garamond" w:hAnsi="Garamond" w:cs="Times New Roman"/>
          <w:lang w:val="en-GB"/>
        </w:rPr>
        <w:t xml:space="preserve">, </w:t>
      </w:r>
      <w:bookmarkEnd w:id="12"/>
      <w:r w:rsidRPr="00F94F4E">
        <w:rPr>
          <w:rFonts w:ascii="Garamond" w:hAnsi="Garamond" w:cs="Times New Roman"/>
          <w:lang w:val="en-GB"/>
        </w:rPr>
        <w:t>p. 37</w:t>
      </w:r>
    </w:p>
  </w:footnote>
  <w:footnote w:id="23">
    <w:p w14:paraId="4C2719E5"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lang w:val="en-GB"/>
        </w:rPr>
        <w:footnoteRef/>
      </w:r>
      <w:r w:rsidRPr="00F94F4E">
        <w:rPr>
          <w:rFonts w:ascii="Garamond" w:hAnsi="Garamond" w:cs="Times New Roman"/>
          <w:lang w:val="en-GB"/>
        </w:rPr>
        <w:t xml:space="preserve"> European Parliament, Modernisation of the Energy Charter Treaty – At a Glance (22 April 2022); </w:t>
      </w:r>
      <w:r w:rsidRPr="00F94F4E">
        <w:rPr>
          <w:rFonts w:ascii="Garamond" w:hAnsi="Garamond"/>
          <w:lang w:val="en-GB"/>
        </w:rPr>
        <w:t>Euractiv, “Europe edging closer to withdrawal from Energy Charter Treaty” (17 May 2022)</w:t>
      </w:r>
      <w:r w:rsidRPr="00F94F4E">
        <w:rPr>
          <w:rFonts w:ascii="Garamond" w:hAnsi="Garamond" w:cs="Times New Roman"/>
          <w:lang w:val="en-GB"/>
        </w:rPr>
        <w:t>.</w:t>
      </w:r>
    </w:p>
  </w:footnote>
  <w:footnote w:id="24">
    <w:p w14:paraId="13195337"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lang w:val="en-GB"/>
        </w:rPr>
        <w:footnoteRef/>
      </w:r>
      <w:r w:rsidRPr="00F94F4E">
        <w:rPr>
          <w:rFonts w:ascii="Garamond" w:hAnsi="Garamond" w:cs="Times New Roman"/>
          <w:lang w:val="en-GB"/>
        </w:rPr>
        <w:t xml:space="preserve"> Law firms notes: Jones Day, “Climate Change and Investor-State Dispute Settlement” (Feb. 2022); Cleary Gottlieb, “Investor-State Arbitration in the Energy Sector Likely as Green Transition Accelerates” (2022); Norton Rose Fulbright, “Climate change and sustainability disputes between foreign investors and states” (Dec. 2021); Volterra Fietta, “Netherlands launches litigation in German Court to preclude investor-State arbitrations” (2021); Steptoe &amp; Johnson LLP, “Foreign Investors’ Options to Deal with Regulatory Changes in the Renewable Energy Sector” (23 Sept. 2014); Financial Times, “European energy groups seek €4bn damages over fossil fuel projects” (21/02/2022).</w:t>
      </w:r>
    </w:p>
  </w:footnote>
  <w:footnote w:id="25">
    <w:p w14:paraId="4D9A2378"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lang w:val="en-GB"/>
        </w:rPr>
        <w:footnoteRef/>
      </w:r>
      <w:r w:rsidRPr="00F94F4E">
        <w:rPr>
          <w:rFonts w:ascii="Garamond" w:hAnsi="Garamond" w:cs="Times New Roman"/>
          <w:lang w:val="en-GB"/>
        </w:rPr>
        <w:t xml:space="preserve"> </w:t>
      </w:r>
      <w:bookmarkStart w:id="13" w:name="_Hlk105751677"/>
      <w:r w:rsidRPr="00F94F4E">
        <w:rPr>
          <w:rFonts w:ascii="Garamond" w:hAnsi="Garamond" w:cs="Times New Roman"/>
          <w:lang w:val="en-GB"/>
        </w:rPr>
        <w:t>Climate Change Counsel, “The Energy Charter Treaty, Climate Change and Clean Energy Transition: A Study of the Jurisprudence” (Executive Summary and Conclusion) (2022)</w:t>
      </w:r>
      <w:bookmarkEnd w:id="13"/>
      <w:r w:rsidRPr="00F94F4E">
        <w:rPr>
          <w:rFonts w:ascii="Garamond" w:hAnsi="Garamond" w:cs="Times New Roman"/>
          <w:lang w:val="en-GB"/>
        </w:rPr>
        <w:t>.</w:t>
      </w:r>
    </w:p>
  </w:footnote>
  <w:footnote w:id="26">
    <w:p w14:paraId="2D4F9F2B"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lang w:val="en-GB"/>
        </w:rPr>
        <w:footnoteRef/>
      </w:r>
      <w:r w:rsidRPr="00F94F4E">
        <w:rPr>
          <w:rFonts w:ascii="Garamond" w:hAnsi="Garamond" w:cs="Times New Roman"/>
          <w:lang w:val="en-GB"/>
        </w:rPr>
        <w:t xml:space="preserve"> </w:t>
      </w:r>
      <w:bookmarkStart w:id="14" w:name="_Hlk105751696"/>
      <w:r w:rsidRPr="00F94F4E">
        <w:rPr>
          <w:rFonts w:ascii="Garamond" w:hAnsi="Garamond" w:cs="Times New Roman"/>
          <w:lang w:val="en-GB"/>
        </w:rPr>
        <w:t>Council of Europe, Resolution 2151, Human rights compatibility of investor-State arbitration in international investment protection agreements (2017</w:t>
      </w:r>
      <w:bookmarkEnd w:id="14"/>
      <w:r w:rsidRPr="00F94F4E">
        <w:rPr>
          <w:rFonts w:ascii="Garamond" w:hAnsi="Garamond" w:cs="Times New Roman"/>
          <w:lang w:val="en-GB"/>
        </w:rPr>
        <w:t>).</w:t>
      </w:r>
    </w:p>
  </w:footnote>
  <w:footnote w:id="27">
    <w:p w14:paraId="6299EFAA"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lang w:val="en-GB"/>
        </w:rPr>
        <w:footnoteRef/>
      </w:r>
      <w:r w:rsidRPr="00F94F4E">
        <w:rPr>
          <w:rFonts w:ascii="Garamond" w:hAnsi="Garamond" w:cs="Times New Roman"/>
          <w:lang w:val="en-GB"/>
        </w:rPr>
        <w:t xml:space="preserve"> </w:t>
      </w:r>
      <w:bookmarkStart w:id="15" w:name="_Hlk105751723"/>
      <w:r w:rsidRPr="00F94F4E">
        <w:rPr>
          <w:rFonts w:ascii="Garamond" w:hAnsi="Garamond" w:cs="Times New Roman"/>
          <w:lang w:val="en-GB"/>
        </w:rPr>
        <w:t>S. Steininger, “What’s Human Rights Got To Do With It: An Empirical Analysis of Human Rights References in Investment Arbitration” (2018) Leiden Journal of International Law 31(1), p. 31.</w:t>
      </w:r>
      <w:bookmarkEnd w:id="15"/>
      <w:r w:rsidRPr="00F94F4E">
        <w:rPr>
          <w:rFonts w:ascii="Garamond" w:hAnsi="Garamond" w:cs="Times New Roman"/>
          <w:lang w:val="en-GB"/>
        </w:rPr>
        <w:t xml:space="preserve"> </w:t>
      </w:r>
    </w:p>
  </w:footnote>
  <w:footnote w:id="28">
    <w:p w14:paraId="468C2BB1"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lang w:val="en-GB"/>
        </w:rPr>
        <w:footnoteRef/>
      </w:r>
      <w:r w:rsidRPr="00F94F4E">
        <w:rPr>
          <w:rFonts w:ascii="Garamond" w:hAnsi="Garamond" w:cs="Times New Roman"/>
          <w:lang w:val="en-GB"/>
        </w:rPr>
        <w:t xml:space="preserve"> Energy Charter Secretariat, “The Energy Charter Treaty (ECT) Remains the Most Frequently Invoked IIA” (11 January 2019).</w:t>
      </w:r>
    </w:p>
  </w:footnote>
  <w:footnote w:id="29">
    <w:p w14:paraId="0A750477"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lang w:val="en-GB"/>
        </w:rPr>
        <w:footnoteRef/>
      </w:r>
      <w:r w:rsidRPr="00F94F4E">
        <w:rPr>
          <w:rFonts w:ascii="Garamond" w:hAnsi="Garamond" w:cs="Times New Roman"/>
          <w:lang w:val="en-GB"/>
        </w:rPr>
        <w:t xml:space="preserve"> </w:t>
      </w:r>
      <w:bookmarkStart w:id="16" w:name="_Hlk106284146"/>
      <w:r w:rsidRPr="00F94F4E">
        <w:rPr>
          <w:rFonts w:ascii="Garamond" w:hAnsi="Garamond" w:cs="Times New Roman"/>
          <w:lang w:val="en-GB"/>
        </w:rPr>
        <w:t>Y. Saheb (OpenExp), “Modernisation of the Energy Charter Treaty: A Global Tragedy at a High Cost for Taxpayers” (January 2020</w:t>
      </w:r>
      <w:bookmarkEnd w:id="16"/>
      <w:r w:rsidRPr="00F94F4E">
        <w:rPr>
          <w:rFonts w:ascii="Garamond" w:hAnsi="Garamond" w:cs="Times New Roman"/>
          <w:lang w:val="en-GB"/>
        </w:rPr>
        <w:t xml:space="preserve">), p. </w:t>
      </w:r>
      <w:r w:rsidRPr="00F94F4E">
        <w:rPr>
          <w:rFonts w:ascii="Garamond" w:eastAsia="Calibri" w:hAnsi="Garamond" w:cs="Times New Roman"/>
          <w:bCs/>
          <w:lang w:val="en-GB"/>
        </w:rPr>
        <w:t>8.</w:t>
      </w:r>
    </w:p>
  </w:footnote>
  <w:footnote w:id="30">
    <w:p w14:paraId="4638F091"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lang w:val="en-GB"/>
        </w:rPr>
        <w:footnoteRef/>
      </w:r>
      <w:r w:rsidRPr="00F94F4E">
        <w:rPr>
          <w:rFonts w:ascii="Garamond" w:hAnsi="Garamond" w:cs="Times New Roman"/>
          <w:lang w:val="en-GB"/>
        </w:rPr>
        <w:t xml:space="preserve"> IISD, </w:t>
      </w:r>
      <w:r w:rsidRPr="00F94F4E">
        <w:rPr>
          <w:rFonts w:ascii="Garamond" w:hAnsi="Garamond"/>
          <w:lang w:val="en-GB"/>
        </w:rPr>
        <w:t>Investor-State Disputes in the Fossil Fuel Industry</w:t>
      </w:r>
      <w:r w:rsidRPr="00F94F4E">
        <w:rPr>
          <w:rFonts w:ascii="Garamond" w:hAnsi="Garamond" w:cs="Times New Roman"/>
          <w:lang w:val="en-GB"/>
        </w:rPr>
        <w:t>, pp. iii, 9-10 and 23-27.</w:t>
      </w:r>
    </w:p>
  </w:footnote>
  <w:footnote w:id="31">
    <w:p w14:paraId="1171D261"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lang w:val="en-GB"/>
        </w:rPr>
        <w:footnoteRef/>
      </w:r>
      <w:r w:rsidRPr="00F94F4E">
        <w:rPr>
          <w:rFonts w:ascii="Garamond" w:hAnsi="Garamond" w:cs="Times New Roman"/>
          <w:lang w:val="en-GB"/>
        </w:rPr>
        <w:t xml:space="preserve"> </w:t>
      </w:r>
      <w:r w:rsidRPr="00F94F4E">
        <w:rPr>
          <w:rFonts w:ascii="Garamond" w:hAnsi="Garamond" w:cs="Times New Roman"/>
          <w:i/>
          <w:lang w:val="en-GB"/>
        </w:rPr>
        <w:t>ibid.</w:t>
      </w:r>
      <w:r w:rsidRPr="00F94F4E">
        <w:rPr>
          <w:rStyle w:val="Lienhypertexte"/>
          <w:rFonts w:ascii="Garamond" w:hAnsi="Garamond" w:cs="Times New Roman"/>
          <w:lang w:val="en-GB"/>
        </w:rPr>
        <w:t>, p. 37</w:t>
      </w:r>
      <w:r w:rsidRPr="00F94F4E">
        <w:rPr>
          <w:rFonts w:ascii="Garamond" w:hAnsi="Garamond" w:cs="Times New Roman"/>
          <w:lang w:val="en-GB"/>
        </w:rPr>
        <w:t>.</w:t>
      </w:r>
    </w:p>
  </w:footnote>
  <w:footnote w:id="32">
    <w:p w14:paraId="56A095B3"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lang w:val="en-GB"/>
        </w:rPr>
        <w:footnoteRef/>
      </w:r>
      <w:r w:rsidRPr="00F94F4E">
        <w:rPr>
          <w:rFonts w:ascii="Garamond" w:hAnsi="Garamond" w:cs="Times New Roman"/>
          <w:lang w:val="en-GB"/>
        </w:rPr>
        <w:t xml:space="preserve"> Financial Times, “European energy groups seek €4bn damages over fossil fuel projects” (21 Feb. 2022).</w:t>
      </w:r>
    </w:p>
  </w:footnote>
  <w:footnote w:id="33">
    <w:p w14:paraId="699BD249"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lang w:val="en-GB"/>
        </w:rPr>
        <w:footnoteRef/>
      </w:r>
      <w:r w:rsidRPr="00F94F4E">
        <w:rPr>
          <w:rFonts w:ascii="Garamond" w:hAnsi="Garamond" w:cs="Times New Roman"/>
          <w:lang w:val="en-GB"/>
        </w:rPr>
        <w:t xml:space="preserve"> Climate Case Chart, “Rockhopper v. Italy”.</w:t>
      </w:r>
    </w:p>
  </w:footnote>
  <w:footnote w:id="34">
    <w:p w14:paraId="19DF27B1"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lang w:val="en-GB"/>
        </w:rPr>
        <w:footnoteRef/>
      </w:r>
      <w:r w:rsidRPr="00F94F4E">
        <w:rPr>
          <w:rFonts w:ascii="Garamond" w:hAnsi="Garamond" w:cs="Times New Roman"/>
          <w:lang w:val="en-GB"/>
        </w:rPr>
        <w:t xml:space="preserve"> </w:t>
      </w:r>
      <w:r w:rsidRPr="00F94F4E">
        <w:rPr>
          <w:rFonts w:ascii="Garamond" w:hAnsi="Garamond"/>
          <w:lang w:val="en-GB"/>
        </w:rPr>
        <w:t>Ascent Resources, Notice of Dispute – Government of Slovenia (5 May 2022)</w:t>
      </w:r>
      <w:r w:rsidRPr="00F94F4E">
        <w:rPr>
          <w:rFonts w:ascii="Garamond" w:hAnsi="Garamond" w:cs="Times New Roman"/>
          <w:lang w:val="en-GB"/>
        </w:rPr>
        <w:t xml:space="preserve">; </w:t>
      </w:r>
      <w:r w:rsidRPr="00F94F4E">
        <w:rPr>
          <w:rFonts w:ascii="Garamond" w:hAnsi="Garamond"/>
          <w:lang w:val="en-GB"/>
        </w:rPr>
        <w:t>Euractiv, “Slovenia imposes blanket ban on fracking” (7 April 2022)</w:t>
      </w:r>
      <w:r w:rsidRPr="00F94F4E">
        <w:rPr>
          <w:rFonts w:ascii="Garamond" w:hAnsi="Garamond" w:cs="Times New Roman"/>
          <w:lang w:val="en-GB"/>
        </w:rPr>
        <w:t>.</w:t>
      </w:r>
    </w:p>
  </w:footnote>
  <w:footnote w:id="35">
    <w:p w14:paraId="21027DBB"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lang w:val="en-GB"/>
        </w:rPr>
        <w:footnoteRef/>
      </w:r>
      <w:r w:rsidRPr="00F94F4E">
        <w:rPr>
          <w:rFonts w:ascii="Garamond" w:hAnsi="Garamond" w:cs="Times New Roman"/>
          <w:lang w:val="en-GB"/>
        </w:rPr>
        <w:t xml:space="preserve"> Investment Arbitration Reporter, “UK investor lodges ECT claim against Romania” (April 2022).</w:t>
      </w:r>
    </w:p>
  </w:footnote>
  <w:footnote w:id="36">
    <w:p w14:paraId="779E2CE5" w14:textId="77777777" w:rsidR="008D4DEB" w:rsidRPr="00F94F4E" w:rsidRDefault="008D4DEB" w:rsidP="008D4DEB">
      <w:pPr>
        <w:pStyle w:val="Notedebasdepage"/>
        <w:jc w:val="both"/>
        <w:rPr>
          <w:rFonts w:ascii="Garamond" w:hAnsi="Garamond"/>
          <w:lang w:val="en-GB"/>
        </w:rPr>
      </w:pPr>
      <w:r w:rsidRPr="00F94F4E">
        <w:rPr>
          <w:rStyle w:val="Appelnotedebasdep"/>
          <w:rFonts w:ascii="Garamond" w:hAnsi="Garamond"/>
        </w:rPr>
        <w:footnoteRef/>
      </w:r>
      <w:r w:rsidRPr="00F94F4E">
        <w:rPr>
          <w:rFonts w:ascii="Garamond" w:hAnsi="Garamond"/>
          <w:lang w:val="en-GB"/>
        </w:rPr>
        <w:t xml:space="preserve"> Summary Note on Regulatory Chill (citing Fabian Flues (Powershift), “Coal ransom: How the Energy Charter Treaty drove up the costs of the German coal phase-out” (22 April 2022), pp. 4-7; </w:t>
      </w:r>
      <w:bookmarkStart w:id="17" w:name="_Hlk106661763"/>
      <w:r w:rsidRPr="00F94F4E">
        <w:rPr>
          <w:rFonts w:ascii="Garamond" w:hAnsi="Garamond"/>
          <w:lang w:val="en-GB"/>
        </w:rPr>
        <w:t>European Commission, Press release, State aid: Commission opens in-depth investigation into compensation for early closure of lignite-fired power plants in Germany (2 March 2021)).</w:t>
      </w:r>
      <w:bookmarkEnd w:id="17"/>
    </w:p>
  </w:footnote>
  <w:footnote w:id="37">
    <w:p w14:paraId="0A2D55B7" w14:textId="77777777" w:rsidR="008D4DEB" w:rsidRPr="00F94F4E" w:rsidRDefault="008D4DEB" w:rsidP="008D4DEB">
      <w:pPr>
        <w:pStyle w:val="Notedebasdepage"/>
        <w:jc w:val="both"/>
        <w:rPr>
          <w:rFonts w:ascii="Garamond" w:hAnsi="Garamond"/>
          <w:lang w:val="en-GB"/>
        </w:rPr>
      </w:pPr>
      <w:r w:rsidRPr="00F94F4E">
        <w:rPr>
          <w:rStyle w:val="Appelnotedebasdep"/>
          <w:rFonts w:ascii="Garamond" w:hAnsi="Garamond"/>
        </w:rPr>
        <w:footnoteRef/>
      </w:r>
      <w:r w:rsidRPr="00F94F4E">
        <w:rPr>
          <w:rFonts w:ascii="Garamond" w:hAnsi="Garamond"/>
          <w:lang w:val="en-GB"/>
        </w:rPr>
        <w:t xml:space="preserve"> Y. Saheb (OpenExp), 37-38</w:t>
      </w:r>
    </w:p>
  </w:footnote>
  <w:footnote w:id="38">
    <w:p w14:paraId="083DFF29" w14:textId="77777777" w:rsidR="008D4DEB" w:rsidRPr="00F94F4E" w:rsidRDefault="008D4DEB" w:rsidP="008D4DEB">
      <w:pPr>
        <w:pStyle w:val="Notedebasdepage"/>
        <w:jc w:val="both"/>
        <w:rPr>
          <w:rFonts w:ascii="Garamond" w:hAnsi="Garamond"/>
          <w:lang w:val="en-GB"/>
        </w:rPr>
      </w:pPr>
      <w:r w:rsidRPr="00F94F4E">
        <w:rPr>
          <w:rStyle w:val="Appelnotedebasdep"/>
          <w:rFonts w:ascii="Garamond" w:hAnsi="Garamond"/>
        </w:rPr>
        <w:footnoteRef/>
      </w:r>
      <w:r w:rsidRPr="00F94F4E">
        <w:rPr>
          <w:rFonts w:ascii="Garamond" w:hAnsi="Garamond"/>
          <w:lang w:val="en-GB"/>
        </w:rPr>
        <w:t xml:space="preserve"> </w:t>
      </w:r>
      <w:bookmarkStart w:id="21" w:name="_Hlk105752688"/>
      <w:r w:rsidRPr="00F94F4E">
        <w:rPr>
          <w:rFonts w:ascii="Garamond" w:hAnsi="Garamond"/>
          <w:lang w:val="en-GB"/>
        </w:rPr>
        <w:t>IISD, Investor-State Disputes in the Fossil Fuel Industry</w:t>
      </w:r>
      <w:bookmarkEnd w:id="21"/>
      <w:r w:rsidRPr="00F94F4E">
        <w:rPr>
          <w:rFonts w:ascii="Garamond" w:hAnsi="Garamond"/>
          <w:lang w:val="en-GB"/>
        </w:rPr>
        <w:t>, pp. iv and 17-18.</w:t>
      </w:r>
    </w:p>
  </w:footnote>
  <w:footnote w:id="39">
    <w:p w14:paraId="4D728BC7" w14:textId="77777777" w:rsidR="008D4DEB" w:rsidRPr="00F94F4E" w:rsidRDefault="008D4DEB" w:rsidP="008D4DEB">
      <w:pPr>
        <w:pStyle w:val="Notedebasdepage"/>
        <w:jc w:val="both"/>
        <w:rPr>
          <w:rFonts w:ascii="Garamond" w:hAnsi="Garamond"/>
          <w:lang w:val="en-GB"/>
        </w:rPr>
      </w:pPr>
      <w:r w:rsidRPr="00F94F4E">
        <w:rPr>
          <w:rStyle w:val="Appelnotedebasdep"/>
          <w:rFonts w:ascii="Garamond" w:hAnsi="Garamond"/>
        </w:rPr>
        <w:footnoteRef/>
      </w:r>
      <w:r w:rsidRPr="00F94F4E">
        <w:rPr>
          <w:rFonts w:ascii="Garamond" w:hAnsi="Garamond"/>
          <w:lang w:val="en-GB"/>
        </w:rPr>
        <w:t xml:space="preserve"> </w:t>
      </w:r>
      <w:bookmarkStart w:id="22" w:name="_Hlk105752704"/>
      <w:r w:rsidRPr="00F94F4E">
        <w:rPr>
          <w:rFonts w:ascii="Garamond" w:hAnsi="Garamond" w:cs="Times New Roman"/>
          <w:lang w:val="en-GB"/>
        </w:rPr>
        <w:t>Investigate Europe, “ECT data analysis: Results and Methods” (23/02/2021).</w:t>
      </w:r>
      <w:bookmarkEnd w:id="22"/>
    </w:p>
  </w:footnote>
  <w:footnote w:id="40">
    <w:p w14:paraId="3E6940DD" w14:textId="77777777" w:rsidR="008D4DEB" w:rsidRPr="00F94F4E" w:rsidRDefault="008D4DEB" w:rsidP="008D4DEB">
      <w:pPr>
        <w:pStyle w:val="Notedebasdepage"/>
        <w:jc w:val="both"/>
        <w:rPr>
          <w:rFonts w:ascii="Garamond" w:hAnsi="Garamond"/>
          <w:lang w:val="en-GB"/>
        </w:rPr>
      </w:pPr>
      <w:r w:rsidRPr="00F94F4E">
        <w:rPr>
          <w:rStyle w:val="Appelnotedebasdep"/>
          <w:rFonts w:ascii="Garamond" w:hAnsi="Garamond"/>
        </w:rPr>
        <w:footnoteRef/>
      </w:r>
      <w:r w:rsidRPr="00F94F4E">
        <w:rPr>
          <w:rFonts w:ascii="Garamond" w:hAnsi="Garamond"/>
          <w:lang w:val="en-GB"/>
        </w:rPr>
        <w:t xml:space="preserve"> </w:t>
      </w:r>
      <w:r w:rsidRPr="00F94F4E">
        <w:rPr>
          <w:rFonts w:ascii="Garamond" w:hAnsi="Garamond" w:cs="Times New Roman"/>
          <w:lang w:val="en-GB"/>
        </w:rPr>
        <w:t xml:space="preserve">Summary Note on Regulatory Chill (citing </w:t>
      </w:r>
      <w:r w:rsidRPr="00F94F4E">
        <w:rPr>
          <w:rFonts w:ascii="Garamond" w:hAnsi="Garamond"/>
          <w:lang w:val="en-GB"/>
        </w:rPr>
        <w:t xml:space="preserve">K. Tienhaara </w:t>
      </w:r>
      <w:r w:rsidRPr="00F94F4E">
        <w:rPr>
          <w:rFonts w:ascii="Garamond" w:hAnsi="Garamond"/>
          <w:i/>
          <w:lang w:val="en-GB"/>
        </w:rPr>
        <w:t>et al.</w:t>
      </w:r>
      <w:r w:rsidRPr="00F94F4E">
        <w:rPr>
          <w:rFonts w:ascii="Garamond" w:hAnsi="Garamond"/>
          <w:lang w:val="en-GB"/>
        </w:rPr>
        <w:t xml:space="preserve"> article in Science); </w:t>
      </w:r>
      <w:r w:rsidRPr="00F94F4E">
        <w:rPr>
          <w:rFonts w:ascii="Garamond" w:hAnsi="Garamond" w:cs="Times New Roman"/>
          <w:lang w:val="en-GB"/>
        </w:rPr>
        <w:t>K. Tienhaara</w:t>
      </w:r>
      <w:r w:rsidRPr="00F94F4E">
        <w:rPr>
          <w:rFonts w:ascii="Garamond" w:hAnsi="Garamond" w:cs="Times New Roman"/>
          <w:i/>
          <w:lang w:val="en-GB"/>
        </w:rPr>
        <w:t xml:space="preserve"> et al.</w:t>
      </w:r>
      <w:r w:rsidRPr="00F94F4E">
        <w:rPr>
          <w:rFonts w:ascii="Garamond" w:hAnsi="Garamond" w:cs="Times New Roman"/>
          <w:lang w:val="en-GB"/>
        </w:rPr>
        <w:t>, Policy Brief, “The Energy Charter Treaty’s Protection of 1.5°C-Incompatible Oil and Gas Assets” (June 2022).</w:t>
      </w:r>
    </w:p>
  </w:footnote>
  <w:footnote w:id="41">
    <w:p w14:paraId="66EA2384" w14:textId="77777777" w:rsidR="008D4DEB" w:rsidRPr="00F94F4E" w:rsidRDefault="008D4DEB" w:rsidP="008D4DEB">
      <w:pPr>
        <w:pStyle w:val="Notedebasdepage"/>
        <w:jc w:val="both"/>
        <w:rPr>
          <w:rFonts w:ascii="Garamond" w:hAnsi="Garamond"/>
          <w:lang w:val="en-GB"/>
        </w:rPr>
      </w:pPr>
      <w:r w:rsidRPr="00F94F4E">
        <w:rPr>
          <w:rStyle w:val="Appelnotedebasdep"/>
          <w:rFonts w:ascii="Garamond" w:hAnsi="Garamond"/>
        </w:rPr>
        <w:footnoteRef/>
      </w:r>
      <w:r w:rsidRPr="00F94F4E">
        <w:rPr>
          <w:rFonts w:ascii="Garamond" w:hAnsi="Garamond"/>
          <w:lang w:val="en-GB"/>
        </w:rPr>
        <w:t xml:space="preserve"> See also </w:t>
      </w:r>
      <w:r w:rsidRPr="00F94F4E">
        <w:rPr>
          <w:rFonts w:ascii="Garamond" w:hAnsi="Garamond" w:cs="Times New Roman"/>
          <w:lang w:val="en-GB"/>
        </w:rPr>
        <w:t>France 24, “Governments risk 'trillions' in fossil fuel climate litigation” (12 Nov. 2021)</w:t>
      </w:r>
      <w:r w:rsidRPr="00F94F4E">
        <w:rPr>
          <w:rFonts w:ascii="Garamond" w:hAnsi="Garamond"/>
          <w:lang w:val="en-GB"/>
        </w:rPr>
        <w:t>.</w:t>
      </w:r>
    </w:p>
  </w:footnote>
  <w:footnote w:id="42">
    <w:p w14:paraId="3F6178DD"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rPr>
        <w:footnoteRef/>
      </w:r>
      <w:r w:rsidRPr="00F94F4E">
        <w:rPr>
          <w:rFonts w:ascii="Garamond" w:hAnsi="Garamond" w:cs="Times New Roman"/>
          <w:lang w:val="en-GB"/>
        </w:rPr>
        <w:t xml:space="preserve"> Summary Note on Regulatory Chill (citing </w:t>
      </w:r>
      <w:r w:rsidRPr="00F94F4E">
        <w:rPr>
          <w:rFonts w:ascii="Garamond" w:hAnsi="Garamond"/>
          <w:lang w:val="en-GB"/>
        </w:rPr>
        <w:t xml:space="preserve">K. Tienhaara </w:t>
      </w:r>
      <w:r w:rsidRPr="00F94F4E">
        <w:rPr>
          <w:rFonts w:ascii="Garamond" w:hAnsi="Garamond"/>
          <w:i/>
          <w:lang w:val="en-GB"/>
        </w:rPr>
        <w:t>et al.</w:t>
      </w:r>
      <w:r w:rsidRPr="00F94F4E">
        <w:rPr>
          <w:rFonts w:ascii="Garamond" w:hAnsi="Garamond"/>
          <w:lang w:val="en-GB"/>
        </w:rPr>
        <w:t xml:space="preserve"> article in Science); </w:t>
      </w:r>
      <w:r w:rsidRPr="00F94F4E">
        <w:rPr>
          <w:rFonts w:ascii="Garamond" w:hAnsi="Garamond" w:cs="Times New Roman"/>
          <w:lang w:val="en-GB"/>
        </w:rPr>
        <w:t>K. Tienhaara</w:t>
      </w:r>
      <w:r w:rsidRPr="00F94F4E">
        <w:rPr>
          <w:rFonts w:ascii="Garamond" w:hAnsi="Garamond" w:cs="Times New Roman"/>
          <w:i/>
          <w:lang w:val="en-GB"/>
        </w:rPr>
        <w:t xml:space="preserve"> et al.</w:t>
      </w:r>
      <w:r w:rsidRPr="00F94F4E">
        <w:rPr>
          <w:rFonts w:ascii="Garamond" w:hAnsi="Garamond" w:cs="Times New Roman"/>
          <w:lang w:val="en-GB"/>
        </w:rPr>
        <w:t>, Policy Brief, “The Energy Charter Treaty’s Protection of 1.5°C-Incompatible Oil and Gas Assets”</w:t>
      </w:r>
      <w:r w:rsidRPr="00F94F4E">
        <w:rPr>
          <w:rFonts w:ascii="Garamond" w:hAnsi="Garamond"/>
          <w:lang w:val="en-GB"/>
        </w:rPr>
        <w:t>.</w:t>
      </w:r>
    </w:p>
  </w:footnote>
  <w:footnote w:id="43">
    <w:p w14:paraId="19667E12"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rPr>
        <w:footnoteRef/>
      </w:r>
      <w:r w:rsidRPr="00F94F4E">
        <w:rPr>
          <w:rFonts w:ascii="Garamond" w:hAnsi="Garamond" w:cs="Times New Roman"/>
          <w:lang w:val="en-GB"/>
        </w:rPr>
        <w:t xml:space="preserve"> EU Parliament, A9-0166/2022, §§24 and 34</w:t>
      </w:r>
      <w:r>
        <w:rPr>
          <w:rFonts w:ascii="Garamond" w:hAnsi="Garamond" w:cs="Times New Roman"/>
          <w:lang w:val="en-GB"/>
        </w:rPr>
        <w:t xml:space="preserve">; </w:t>
      </w:r>
      <w:r w:rsidRPr="00F94F4E">
        <w:rPr>
          <w:rFonts w:ascii="Garamond" w:hAnsi="Garamond" w:cs="Times New Roman"/>
          <w:lang w:val="en-GB"/>
        </w:rPr>
        <w:t>Summary Note on Regulatory Chill.</w:t>
      </w:r>
    </w:p>
  </w:footnote>
  <w:footnote w:id="44">
    <w:p w14:paraId="0BFF2C78" w14:textId="77777777" w:rsidR="008D4DEB" w:rsidRPr="00F94F4E" w:rsidRDefault="008D4DEB" w:rsidP="008D4DEB">
      <w:pPr>
        <w:pStyle w:val="Notedebasdepage"/>
        <w:jc w:val="both"/>
        <w:rPr>
          <w:rFonts w:ascii="Garamond" w:hAnsi="Garamond"/>
          <w:lang w:val="en-GB"/>
        </w:rPr>
      </w:pPr>
      <w:r w:rsidRPr="00F94F4E">
        <w:rPr>
          <w:rStyle w:val="Appelnotedebasdep"/>
          <w:rFonts w:ascii="Garamond" w:hAnsi="Garamond"/>
        </w:rPr>
        <w:footnoteRef/>
      </w:r>
      <w:r w:rsidRPr="00F94F4E">
        <w:rPr>
          <w:rFonts w:ascii="Garamond" w:hAnsi="Garamond"/>
          <w:lang w:val="en-GB"/>
        </w:rPr>
        <w:t xml:space="preserve"> Overview of ECT cases (June 2022).</w:t>
      </w:r>
    </w:p>
  </w:footnote>
  <w:footnote w:id="45">
    <w:p w14:paraId="5759A659" w14:textId="77777777" w:rsidR="008D4DEB" w:rsidRPr="00F94F4E" w:rsidRDefault="008D4DEB" w:rsidP="008D4DEB">
      <w:pPr>
        <w:pStyle w:val="Notedebasdepage"/>
        <w:jc w:val="both"/>
        <w:rPr>
          <w:rFonts w:ascii="Garamond" w:hAnsi="Garamond"/>
          <w:lang w:val="en-GB"/>
        </w:rPr>
      </w:pPr>
      <w:r w:rsidRPr="00F94F4E">
        <w:rPr>
          <w:rStyle w:val="Appelnotedebasdep"/>
          <w:rFonts w:ascii="Garamond" w:hAnsi="Garamond"/>
        </w:rPr>
        <w:footnoteRef/>
      </w:r>
      <w:r w:rsidRPr="00F94F4E">
        <w:rPr>
          <w:rFonts w:ascii="Garamond" w:hAnsi="Garamond"/>
          <w:lang w:val="en-GB"/>
        </w:rPr>
        <w:t xml:space="preserve"> TNI, “From solar dream to legal nightmare” (31 May 2022), p. 4.</w:t>
      </w:r>
    </w:p>
  </w:footnote>
  <w:footnote w:id="46">
    <w:p w14:paraId="254F8B5C"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lang w:val="en-GB"/>
        </w:rPr>
        <w:footnoteRef/>
      </w:r>
      <w:r w:rsidRPr="00F94F4E">
        <w:rPr>
          <w:rFonts w:ascii="Garamond" w:hAnsi="Garamond" w:cs="Times New Roman"/>
          <w:lang w:val="en-GB"/>
        </w:rPr>
        <w:t xml:space="preserve"> IISD, Fossil Fuel Disputes, p. 27; </w:t>
      </w:r>
      <w:r w:rsidRPr="00F94F4E">
        <w:rPr>
          <w:rFonts w:ascii="Garamond" w:hAnsi="Garamond"/>
          <w:lang w:val="en-GB"/>
        </w:rPr>
        <w:t>SIEPS (Swedish government authority), “Energistadgefördragets nytta för EU” (</w:t>
      </w:r>
      <w:r w:rsidRPr="00F94F4E">
        <w:rPr>
          <w:rFonts w:ascii="Garamond" w:hAnsi="Garamond"/>
          <w:i/>
          <w:lang w:val="en-GB"/>
        </w:rPr>
        <w:t>The benefits of the ECT for the EU</w:t>
      </w:r>
      <w:r w:rsidRPr="00F94F4E">
        <w:rPr>
          <w:rFonts w:ascii="Garamond" w:hAnsi="Garamond"/>
          <w:lang w:val="en-GB"/>
        </w:rPr>
        <w:t xml:space="preserve">) - Executive Summary (December 2021), pp. </w:t>
      </w:r>
      <w:r w:rsidRPr="00F94F4E">
        <w:rPr>
          <w:rFonts w:ascii="Garamond" w:hAnsi="Garamond" w:cs="Times New Roman"/>
          <w:lang w:val="en-GB"/>
        </w:rPr>
        <w:t>63-65; EU Parliament, A9-0166/2022, §34.</w:t>
      </w:r>
    </w:p>
  </w:footnote>
  <w:footnote w:id="47">
    <w:p w14:paraId="77A218E4"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lang w:val="en-GB"/>
        </w:rPr>
        <w:footnoteRef/>
      </w:r>
      <w:r w:rsidRPr="00F94F4E">
        <w:rPr>
          <w:rFonts w:ascii="Garamond" w:hAnsi="Garamond" w:cs="Times New Roman"/>
          <w:lang w:val="en-GB"/>
        </w:rPr>
        <w:t xml:space="preserve"> Summary Note on Regulatory Chill, p. 1.</w:t>
      </w:r>
    </w:p>
  </w:footnote>
  <w:footnote w:id="48">
    <w:p w14:paraId="20A1E62E" w14:textId="77777777" w:rsidR="008D4DEB" w:rsidRPr="00F94F4E" w:rsidRDefault="008D4DEB" w:rsidP="008D4DEB">
      <w:pPr>
        <w:pStyle w:val="Notedebasdepage"/>
        <w:rPr>
          <w:rFonts w:ascii="Garamond" w:hAnsi="Garamond"/>
          <w:lang w:val="en-GB"/>
        </w:rPr>
      </w:pPr>
      <w:r w:rsidRPr="00F94F4E">
        <w:rPr>
          <w:rStyle w:val="Appelnotedebasdep"/>
          <w:rFonts w:ascii="Garamond" w:hAnsi="Garamond"/>
        </w:rPr>
        <w:footnoteRef/>
      </w:r>
      <w:r w:rsidRPr="00F94F4E">
        <w:rPr>
          <w:rFonts w:ascii="Garamond" w:hAnsi="Garamond"/>
          <w:lang w:val="en-GB"/>
        </w:rPr>
        <w:t xml:space="preserve"> </w:t>
      </w:r>
      <w:r w:rsidRPr="00F94F4E">
        <w:rPr>
          <w:rFonts w:ascii="Garamond" w:hAnsi="Garamond" w:cs="Times New Roman"/>
          <w:lang w:val="en-GB"/>
        </w:rPr>
        <w:t>Summary Note on Regulatory Chill, p. 27.</w:t>
      </w:r>
    </w:p>
  </w:footnote>
  <w:footnote w:id="49">
    <w:p w14:paraId="7E083638" w14:textId="77777777" w:rsidR="008D4DEB" w:rsidRPr="00F94F4E" w:rsidRDefault="008D4DEB" w:rsidP="008D4DEB">
      <w:pPr>
        <w:pStyle w:val="Notedebasdepage"/>
        <w:rPr>
          <w:rFonts w:ascii="Garamond" w:hAnsi="Garamond"/>
          <w:lang w:val="en-GB"/>
        </w:rPr>
      </w:pPr>
      <w:r w:rsidRPr="00F94F4E">
        <w:rPr>
          <w:rStyle w:val="Appelnotedebasdep"/>
          <w:rFonts w:ascii="Garamond" w:hAnsi="Garamond"/>
        </w:rPr>
        <w:footnoteRef/>
      </w:r>
      <w:r w:rsidRPr="00F94F4E">
        <w:rPr>
          <w:rFonts w:ascii="Garamond" w:hAnsi="Garamond"/>
          <w:lang w:val="en-GB"/>
        </w:rPr>
        <w:t xml:space="preserve"> </w:t>
      </w:r>
      <w:r w:rsidRPr="00F94F4E">
        <w:rPr>
          <w:rFonts w:ascii="Garamond" w:hAnsi="Garamond" w:cs="Times New Roman"/>
          <w:lang w:val="en-GB"/>
        </w:rPr>
        <w:t>Summary Note on Regulatory Chill, pp. 25-30.</w:t>
      </w:r>
    </w:p>
  </w:footnote>
  <w:footnote w:id="50">
    <w:p w14:paraId="1C14F570" w14:textId="77777777" w:rsidR="008D4DEB" w:rsidRPr="00F94F4E" w:rsidRDefault="008D4DEB" w:rsidP="008D4DEB">
      <w:pPr>
        <w:pStyle w:val="Notedebasdepage"/>
        <w:rPr>
          <w:rFonts w:ascii="Garamond" w:hAnsi="Garamond"/>
          <w:lang w:val="en-GB"/>
        </w:rPr>
      </w:pPr>
      <w:r w:rsidRPr="00F94F4E">
        <w:rPr>
          <w:rStyle w:val="Appelnotedebasdep"/>
          <w:rFonts w:ascii="Garamond" w:hAnsi="Garamond"/>
        </w:rPr>
        <w:footnoteRef/>
      </w:r>
      <w:r w:rsidRPr="00F94F4E">
        <w:rPr>
          <w:rFonts w:ascii="Garamond" w:hAnsi="Garamond"/>
          <w:lang w:val="en-GB"/>
        </w:rPr>
        <w:t xml:space="preserve"> </w:t>
      </w:r>
      <w:r w:rsidRPr="00F94F4E">
        <w:rPr>
          <w:rFonts w:ascii="Garamond" w:hAnsi="Garamond" w:cs="Times New Roman"/>
          <w:lang w:val="en-GB"/>
        </w:rPr>
        <w:t xml:space="preserve">Summary Note on Regulatory Chill, pp. </w:t>
      </w:r>
      <w:r>
        <w:rPr>
          <w:rFonts w:ascii="Garamond" w:hAnsi="Garamond" w:cs="Times New Roman"/>
          <w:lang w:val="en-GB"/>
        </w:rPr>
        <w:t>1</w:t>
      </w:r>
      <w:r w:rsidRPr="00F94F4E">
        <w:rPr>
          <w:rFonts w:ascii="Garamond" w:hAnsi="Garamond" w:cs="Times New Roman"/>
          <w:lang w:val="en-GB"/>
        </w:rPr>
        <w:t>5-</w:t>
      </w:r>
      <w:r>
        <w:rPr>
          <w:rFonts w:ascii="Garamond" w:hAnsi="Garamond" w:cs="Times New Roman"/>
          <w:lang w:val="en-GB"/>
        </w:rPr>
        <w:t>2</w:t>
      </w:r>
      <w:r w:rsidRPr="00F94F4E">
        <w:rPr>
          <w:rFonts w:ascii="Garamond" w:hAnsi="Garamond" w:cs="Times New Roman"/>
          <w:lang w:val="en-GB"/>
        </w:rPr>
        <w:t>0.</w:t>
      </w:r>
    </w:p>
  </w:footnote>
  <w:footnote w:id="51">
    <w:p w14:paraId="6B187D29"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lang w:val="en-GB"/>
        </w:rPr>
        <w:footnoteRef/>
      </w:r>
      <w:r w:rsidRPr="00F94F4E">
        <w:rPr>
          <w:rFonts w:ascii="Garamond" w:hAnsi="Garamond" w:cs="Times New Roman"/>
          <w:lang w:val="en-GB"/>
        </w:rPr>
        <w:t xml:space="preserve"> </w:t>
      </w:r>
      <w:bookmarkStart w:id="27" w:name="_Hlk106662163"/>
      <w:r w:rsidRPr="00F94F4E">
        <w:rPr>
          <w:rFonts w:ascii="Garamond" w:hAnsi="Garamond" w:cs="Times New Roman"/>
          <w:lang w:val="en-GB"/>
        </w:rPr>
        <w:t>ECT Secretariat, Decision of the Energy Charter Conference (14 Dec. 202</w:t>
      </w:r>
      <w:bookmarkEnd w:id="27"/>
      <w:r w:rsidRPr="00F94F4E">
        <w:rPr>
          <w:rFonts w:ascii="Garamond" w:hAnsi="Garamond" w:cs="Times New Roman"/>
          <w:lang w:val="en-GB"/>
        </w:rPr>
        <w:t>1).</w:t>
      </w:r>
    </w:p>
  </w:footnote>
  <w:footnote w:id="52">
    <w:p w14:paraId="258685EE"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lang w:val="en-GB"/>
        </w:rPr>
        <w:footnoteRef/>
      </w:r>
      <w:r w:rsidRPr="00F94F4E">
        <w:rPr>
          <w:rFonts w:ascii="Garamond" w:hAnsi="Garamond"/>
          <w:lang w:val="en-GB"/>
        </w:rPr>
        <w:t>European Parliament, Modernisation of the Energy Charter Treaty – At a Glance (22 April 2022).</w:t>
      </w:r>
    </w:p>
  </w:footnote>
  <w:footnote w:id="53">
    <w:p w14:paraId="34CCD500" w14:textId="77777777" w:rsidR="008D4DEB" w:rsidRPr="00F94F4E" w:rsidRDefault="008D4DEB" w:rsidP="008D4DEB">
      <w:pPr>
        <w:pStyle w:val="Notedebasdepage"/>
        <w:jc w:val="both"/>
        <w:rPr>
          <w:rFonts w:ascii="Garamond" w:hAnsi="Garamond"/>
          <w:lang w:val="en-GB"/>
        </w:rPr>
      </w:pPr>
      <w:r w:rsidRPr="00F94F4E">
        <w:rPr>
          <w:rStyle w:val="Appelnotedebasdep"/>
          <w:rFonts w:ascii="Garamond" w:hAnsi="Garamond"/>
        </w:rPr>
        <w:footnoteRef/>
      </w:r>
      <w:r w:rsidRPr="00F94F4E">
        <w:rPr>
          <w:rFonts w:ascii="Garamond" w:hAnsi="Garamond"/>
          <w:lang w:val="en-GB"/>
        </w:rPr>
        <w:t xml:space="preserve"> ECT Secretariat, Public Communication on the 11th Negotiation Round of the Modernisation of the ECT (March 2022); Urgewald, Meet the Energy Charter Treaty (2020), p. 5; </w:t>
      </w:r>
      <w:bookmarkStart w:id="28" w:name="_Hlk106662321"/>
      <w:r w:rsidRPr="00F94F4E">
        <w:rPr>
          <w:rFonts w:ascii="Garamond" w:hAnsi="Garamond"/>
          <w:lang w:val="en-GB"/>
        </w:rPr>
        <w:t>Euractiv, “Europe edging closer to withdrawal from Energy Charter Treaty”</w:t>
      </w:r>
      <w:bookmarkEnd w:id="28"/>
      <w:r w:rsidRPr="00F94F4E">
        <w:rPr>
          <w:rFonts w:ascii="Garamond" w:hAnsi="Garamond"/>
          <w:lang w:val="en-GB"/>
        </w:rPr>
        <w:t>.</w:t>
      </w:r>
    </w:p>
  </w:footnote>
  <w:footnote w:id="54">
    <w:p w14:paraId="31143D2A" w14:textId="77777777" w:rsidR="008D4DEB" w:rsidRPr="00F94F4E" w:rsidRDefault="008D4DEB" w:rsidP="008D4DEB">
      <w:pPr>
        <w:pStyle w:val="Notedebasdepage"/>
        <w:tabs>
          <w:tab w:val="left" w:pos="908"/>
        </w:tabs>
        <w:jc w:val="both"/>
        <w:rPr>
          <w:rFonts w:ascii="Garamond" w:hAnsi="Garamond"/>
          <w:lang w:val="en-GB"/>
        </w:rPr>
      </w:pPr>
      <w:r w:rsidRPr="00F94F4E">
        <w:rPr>
          <w:rStyle w:val="Appelnotedebasdep"/>
          <w:rFonts w:ascii="Garamond" w:hAnsi="Garamond"/>
        </w:rPr>
        <w:footnoteRef/>
      </w:r>
      <w:r w:rsidRPr="00F94F4E">
        <w:rPr>
          <w:rFonts w:ascii="Garamond" w:hAnsi="Garamond"/>
          <w:lang w:val="en-GB"/>
        </w:rPr>
        <w:t xml:space="preserve"> See </w:t>
      </w:r>
      <w:r w:rsidRPr="00F94F4E">
        <w:rPr>
          <w:rFonts w:ascii="Garamond" w:hAnsi="Garamond" w:cs="Times New Roman"/>
          <w:lang w:val="en-GB"/>
        </w:rPr>
        <w:t xml:space="preserve">EU Parliament, A9-0166/2022; </w:t>
      </w:r>
      <w:r w:rsidRPr="00370806">
        <w:rPr>
          <w:rFonts w:ascii="Garamond" w:hAnsi="Garamond"/>
          <w:lang w:val="en-GB"/>
        </w:rPr>
        <w:t>Institut Veblen and others, Courrier au Ministre Riester (June 2022)</w:t>
      </w:r>
      <w:r w:rsidRPr="00F94F4E">
        <w:rPr>
          <w:rFonts w:ascii="Garamond" w:hAnsi="Garamond" w:cs="Times New Roman"/>
          <w:lang w:val="en-GB"/>
        </w:rPr>
        <w:t>.</w:t>
      </w:r>
    </w:p>
  </w:footnote>
  <w:footnote w:id="55">
    <w:p w14:paraId="707B37C4"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rPr>
        <w:footnoteRef/>
      </w:r>
      <w:r w:rsidRPr="00F94F4E">
        <w:rPr>
          <w:rFonts w:ascii="Garamond" w:hAnsi="Garamond" w:cs="Times New Roman"/>
          <w:lang w:val="en-GB"/>
        </w:rPr>
        <w:t xml:space="preserve"> CIEL and HBS (28 Feb. 2022), p. 11.</w:t>
      </w:r>
    </w:p>
  </w:footnote>
  <w:footnote w:id="56">
    <w:p w14:paraId="42174D4B" w14:textId="77777777" w:rsidR="008D4DEB" w:rsidRPr="00F94F4E" w:rsidRDefault="008D4DEB" w:rsidP="008D4DEB">
      <w:pPr>
        <w:pStyle w:val="Notedebasdepage"/>
        <w:jc w:val="both"/>
        <w:rPr>
          <w:rFonts w:ascii="Garamond" w:hAnsi="Garamond"/>
          <w:lang w:val="en-GB"/>
        </w:rPr>
      </w:pPr>
      <w:r w:rsidRPr="00F94F4E">
        <w:rPr>
          <w:rStyle w:val="Appelnotedebasdep"/>
          <w:rFonts w:ascii="Garamond" w:hAnsi="Garamond"/>
        </w:rPr>
        <w:footnoteRef/>
      </w:r>
      <w:r w:rsidRPr="00F94F4E">
        <w:rPr>
          <w:rFonts w:ascii="Garamond" w:hAnsi="Garamond"/>
          <w:lang w:val="en-GB"/>
        </w:rPr>
        <w:t xml:space="preserve"> </w:t>
      </w:r>
      <w:r w:rsidRPr="00F94F4E">
        <w:rPr>
          <w:rFonts w:ascii="Garamond" w:hAnsi="Garamond" w:cs="Times New Roman"/>
          <w:lang w:val="en-GB"/>
        </w:rPr>
        <w:t>CIEL and HBS (21 April 2022), p. 21.</w:t>
      </w:r>
    </w:p>
  </w:footnote>
  <w:footnote w:id="57">
    <w:p w14:paraId="12FD1017"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lang w:val="en-GB"/>
        </w:rPr>
        <w:footnoteRef/>
      </w:r>
      <w:r w:rsidRPr="00F94F4E">
        <w:rPr>
          <w:rFonts w:ascii="Garamond" w:hAnsi="Garamond" w:cs="Times New Roman"/>
          <w:lang w:val="en-GB"/>
        </w:rPr>
        <w:t xml:space="preserve"> For example, see: </w:t>
      </w:r>
      <w:r w:rsidRPr="00F94F4E">
        <w:rPr>
          <w:rFonts w:ascii="Garamond" w:hAnsi="Garamond" w:cs="Times New Roman"/>
          <w:iCs/>
          <w:lang w:val="en-GB"/>
        </w:rPr>
        <w:t>Plan B v Secretary of State for Business, Energy and Industrial Strategy</w:t>
      </w:r>
      <w:r w:rsidRPr="00F94F4E">
        <w:rPr>
          <w:rFonts w:ascii="Garamond" w:hAnsi="Garamond" w:cs="Times New Roman"/>
          <w:lang w:val="en-GB"/>
        </w:rPr>
        <w:t xml:space="preserve"> [2018] EWHC 1892 (Admin), §49; </w:t>
      </w:r>
      <w:r w:rsidRPr="00F94F4E">
        <w:rPr>
          <w:rFonts w:ascii="Garamond" w:hAnsi="Garamond" w:cs="Times New Roman"/>
          <w:iCs/>
          <w:lang w:val="en-GB"/>
        </w:rPr>
        <w:t>Verein KlimaSeniorinnen Schweiz and Others v Federal Department of the Environment, Transport, Energy and Communications</w:t>
      </w:r>
      <w:r w:rsidRPr="00F94F4E">
        <w:rPr>
          <w:rFonts w:ascii="Garamond" w:hAnsi="Garamond" w:cs="Times New Roman"/>
          <w:lang w:val="en-GB"/>
        </w:rPr>
        <w:t>, Federal Tribunal, 1C_37/2019 (5 May 2020), §§5.4-5.5.</w:t>
      </w:r>
    </w:p>
  </w:footnote>
  <w:footnote w:id="58">
    <w:p w14:paraId="115EEDAB"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lang w:val="en-GB"/>
        </w:rPr>
        <w:footnoteRef/>
      </w:r>
      <w:r w:rsidRPr="00F94F4E">
        <w:rPr>
          <w:rFonts w:ascii="Garamond" w:hAnsi="Garamond" w:cs="Times New Roman"/>
          <w:lang w:val="en-GB"/>
        </w:rPr>
        <w:t xml:space="preserve"> </w:t>
      </w:r>
      <w:r w:rsidRPr="00F94F4E">
        <w:rPr>
          <w:rFonts w:ascii="Garamond" w:hAnsi="Garamond" w:cs="Times New Roman"/>
          <w:i/>
          <w:iCs/>
          <w:lang w:val="en-GB"/>
        </w:rPr>
        <w:t>Sejdovic v. Italy</w:t>
      </w:r>
      <w:r w:rsidRPr="00F94F4E">
        <w:rPr>
          <w:rFonts w:ascii="Garamond" w:hAnsi="Garamond" w:cs="Times New Roman"/>
          <w:iCs/>
          <w:lang w:val="en-GB"/>
        </w:rPr>
        <w:t xml:space="preserve"> </w:t>
      </w:r>
      <w:r w:rsidRPr="00F94F4E">
        <w:rPr>
          <w:rFonts w:ascii="Garamond" w:hAnsi="Garamond" w:cs="Times New Roman"/>
          <w:lang w:val="en-GB"/>
        </w:rPr>
        <w:t>[GC], app. no. 56581/00, 1 March 2006, §46.</w:t>
      </w:r>
    </w:p>
  </w:footnote>
  <w:footnote w:id="59">
    <w:p w14:paraId="01D06C27" w14:textId="77777777" w:rsidR="008D4DEB" w:rsidRPr="00F94F4E" w:rsidRDefault="008D4DEB" w:rsidP="008D4DEB">
      <w:pPr>
        <w:autoSpaceDE w:val="0"/>
        <w:adjustRightInd w:val="0"/>
        <w:jc w:val="both"/>
        <w:rPr>
          <w:rFonts w:ascii="Garamond" w:hAnsi="Garamond"/>
          <w:sz w:val="20"/>
          <w:szCs w:val="20"/>
          <w:lang w:val="en-GB"/>
        </w:rPr>
      </w:pPr>
      <w:r w:rsidRPr="00F94F4E">
        <w:rPr>
          <w:rStyle w:val="Appelnotedebasdep"/>
          <w:rFonts w:ascii="Garamond" w:hAnsi="Garamond"/>
          <w:sz w:val="20"/>
          <w:szCs w:val="20"/>
          <w:lang w:val="en-GB"/>
        </w:rPr>
        <w:footnoteRef/>
      </w:r>
      <w:r w:rsidRPr="00F94F4E">
        <w:rPr>
          <w:rFonts w:ascii="Garamond" w:hAnsi="Garamond"/>
          <w:sz w:val="20"/>
          <w:szCs w:val="20"/>
          <w:lang w:val="en-GB"/>
        </w:rPr>
        <w:t xml:space="preserve"> For example: </w:t>
      </w:r>
      <w:r w:rsidRPr="00F94F4E">
        <w:rPr>
          <w:rFonts w:ascii="Garamond" w:hAnsi="Garamond"/>
          <w:iCs/>
          <w:sz w:val="20"/>
          <w:szCs w:val="20"/>
          <w:lang w:val="en-GB"/>
        </w:rPr>
        <w:t>Greenpeace Nordic Association and Nature and Youth v. Ministry of Petroleum and Energy</w:t>
      </w:r>
      <w:r w:rsidRPr="00F94F4E">
        <w:rPr>
          <w:rFonts w:ascii="Garamond" w:hAnsi="Garamond"/>
          <w:sz w:val="20"/>
          <w:szCs w:val="20"/>
          <w:lang w:val="en-GB"/>
        </w:rPr>
        <w:t>, Case no. 20- 051052SIV-HRET (Supreme Court of Norway, 22 December 2020).</w:t>
      </w:r>
    </w:p>
  </w:footnote>
  <w:footnote w:id="60">
    <w:p w14:paraId="33D1BC08"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lang w:val="en-GB"/>
        </w:rPr>
        <w:footnoteRef/>
      </w:r>
      <w:r w:rsidRPr="00F94F4E">
        <w:rPr>
          <w:rFonts w:ascii="Garamond" w:hAnsi="Garamond" w:cs="Times New Roman"/>
          <w:lang w:val="en-GB"/>
        </w:rPr>
        <w:t xml:space="preserve"> </w:t>
      </w:r>
      <w:r w:rsidRPr="00F94F4E">
        <w:rPr>
          <w:rFonts w:ascii="Garamond" w:hAnsi="Garamond" w:cs="Times New Roman"/>
          <w:i/>
          <w:iCs/>
          <w:lang w:val="en-GB"/>
        </w:rPr>
        <w:t>Mifsud v. France</w:t>
      </w:r>
      <w:r w:rsidRPr="00F94F4E">
        <w:rPr>
          <w:rFonts w:ascii="Garamond" w:hAnsi="Garamond" w:cs="Times New Roman"/>
          <w:iCs/>
          <w:lang w:val="en-GB"/>
        </w:rPr>
        <w:t xml:space="preserve"> </w:t>
      </w:r>
      <w:r w:rsidRPr="00F94F4E">
        <w:rPr>
          <w:rFonts w:ascii="Garamond" w:hAnsi="Garamond" w:cs="Times New Roman"/>
          <w:lang w:val="en-GB"/>
        </w:rPr>
        <w:t xml:space="preserve">[GC], app. no. 57220/00, 11 September 2002, §§15-16; </w:t>
      </w:r>
      <w:r w:rsidRPr="00F94F4E">
        <w:rPr>
          <w:rFonts w:ascii="Garamond" w:hAnsi="Garamond" w:cs="Times New Roman"/>
          <w:i/>
          <w:iCs/>
          <w:lang w:val="en-GB"/>
        </w:rPr>
        <w:t>Horvat v. Croatia</w:t>
      </w:r>
      <w:r w:rsidRPr="00F94F4E">
        <w:rPr>
          <w:rFonts w:ascii="Garamond" w:hAnsi="Garamond" w:cs="Times New Roman"/>
          <w:iCs/>
          <w:lang w:val="en-GB"/>
        </w:rPr>
        <w:t>, a</w:t>
      </w:r>
      <w:r w:rsidRPr="00F94F4E">
        <w:rPr>
          <w:rFonts w:ascii="Garamond" w:hAnsi="Garamond" w:cs="Times New Roman"/>
          <w:lang w:val="en-GB"/>
        </w:rPr>
        <w:t>pp. no. 51585/99, 26 July 2001, §44.</w:t>
      </w:r>
    </w:p>
  </w:footnote>
  <w:footnote w:id="61">
    <w:p w14:paraId="10274AAA" w14:textId="77777777" w:rsidR="008D4DEB" w:rsidRPr="00F94F4E" w:rsidRDefault="008D4DEB" w:rsidP="008D4DEB">
      <w:pPr>
        <w:autoSpaceDE w:val="0"/>
        <w:adjustRightInd w:val="0"/>
        <w:jc w:val="both"/>
        <w:rPr>
          <w:rFonts w:ascii="Garamond" w:hAnsi="Garamond"/>
          <w:sz w:val="20"/>
          <w:szCs w:val="20"/>
          <w:lang w:val="en-GB"/>
        </w:rPr>
      </w:pPr>
      <w:r w:rsidRPr="00F94F4E">
        <w:rPr>
          <w:rStyle w:val="Appelnotedebasdep"/>
          <w:rFonts w:ascii="Garamond" w:hAnsi="Garamond"/>
          <w:sz w:val="20"/>
          <w:szCs w:val="20"/>
          <w:lang w:val="en-GB"/>
        </w:rPr>
        <w:footnoteRef/>
      </w:r>
      <w:r w:rsidRPr="00F94F4E">
        <w:rPr>
          <w:rFonts w:ascii="Garamond" w:hAnsi="Garamond"/>
          <w:sz w:val="20"/>
          <w:szCs w:val="20"/>
          <w:lang w:val="en-GB"/>
        </w:rPr>
        <w:t xml:space="preserve"> </w:t>
      </w:r>
      <w:r w:rsidRPr="00F94F4E">
        <w:rPr>
          <w:rFonts w:ascii="Garamond" w:hAnsi="Garamond"/>
          <w:i/>
          <w:iCs/>
          <w:sz w:val="20"/>
          <w:szCs w:val="20"/>
          <w:lang w:val="en-GB"/>
        </w:rPr>
        <w:t>Pine Valley Developments Ltd and Others v. Ireland</w:t>
      </w:r>
      <w:r w:rsidRPr="00F94F4E">
        <w:rPr>
          <w:rFonts w:ascii="Garamond" w:hAnsi="Garamond"/>
          <w:iCs/>
          <w:sz w:val="20"/>
          <w:szCs w:val="20"/>
          <w:lang w:val="en-GB"/>
        </w:rPr>
        <w:t>, a</w:t>
      </w:r>
      <w:r w:rsidRPr="00F94F4E">
        <w:rPr>
          <w:rFonts w:ascii="Garamond" w:hAnsi="Garamond"/>
          <w:sz w:val="20"/>
          <w:szCs w:val="20"/>
          <w:lang w:val="en-GB"/>
        </w:rPr>
        <w:t xml:space="preserve">pp. no. 12742/87, 29 November 1991, §47; </w:t>
      </w:r>
      <w:r w:rsidRPr="00F94F4E">
        <w:rPr>
          <w:rFonts w:ascii="Garamond" w:hAnsi="Garamond" w:cs="Times New Roman"/>
          <w:i/>
          <w:iCs/>
          <w:sz w:val="20"/>
          <w:szCs w:val="20"/>
          <w:lang w:val="en-GB"/>
        </w:rPr>
        <w:t>McFarlane v. Ireland</w:t>
      </w:r>
      <w:r w:rsidRPr="00F94F4E">
        <w:rPr>
          <w:rFonts w:ascii="Garamond" w:hAnsi="Garamond" w:cs="Times New Roman"/>
          <w:iCs/>
          <w:sz w:val="20"/>
          <w:szCs w:val="20"/>
          <w:lang w:val="en-GB"/>
        </w:rPr>
        <w:t xml:space="preserve"> </w:t>
      </w:r>
      <w:r w:rsidRPr="00F94F4E">
        <w:rPr>
          <w:rFonts w:ascii="Garamond" w:eastAsia="TimesNewRomanPSMT" w:hAnsi="Garamond" w:cs="Times New Roman"/>
          <w:sz w:val="20"/>
          <w:szCs w:val="20"/>
          <w:lang w:val="en-GB"/>
        </w:rPr>
        <w:t>[GC], app. no. 31333/06, 10 September 2010, §123.</w:t>
      </w:r>
    </w:p>
  </w:footnote>
  <w:footnote w:id="62">
    <w:p w14:paraId="4E681860"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lang w:val="en-GB"/>
        </w:rPr>
        <w:footnoteRef/>
      </w:r>
      <w:r w:rsidRPr="00F94F4E">
        <w:rPr>
          <w:rFonts w:ascii="Garamond" w:hAnsi="Garamond" w:cs="Times New Roman"/>
          <w:lang w:val="en-GB"/>
        </w:rPr>
        <w:t xml:space="preserve"> </w:t>
      </w:r>
      <w:r w:rsidRPr="00F94F4E">
        <w:rPr>
          <w:rFonts w:ascii="Garamond" w:hAnsi="Garamond" w:cs="Times New Roman"/>
          <w:i/>
          <w:iCs/>
          <w:lang w:val="en-GB"/>
        </w:rPr>
        <w:t>M.N. and Others v. Belgium</w:t>
      </w:r>
      <w:r w:rsidRPr="00F94F4E">
        <w:rPr>
          <w:rFonts w:ascii="Garamond" w:hAnsi="Garamond" w:cs="Times New Roman"/>
          <w:iCs/>
          <w:lang w:val="en-GB"/>
        </w:rPr>
        <w:t xml:space="preserve"> </w:t>
      </w:r>
      <w:r w:rsidRPr="00F94F4E">
        <w:rPr>
          <w:rFonts w:ascii="Garamond" w:hAnsi="Garamond" w:cs="Times New Roman"/>
          <w:lang w:val="en-GB"/>
        </w:rPr>
        <w:t>[GC], app. no. 3599/18, 5 March 2020, §131.</w:t>
      </w:r>
    </w:p>
  </w:footnote>
  <w:footnote w:id="63">
    <w:p w14:paraId="0A7BF2B2"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lang w:val="en-GB"/>
        </w:rPr>
        <w:footnoteRef/>
      </w:r>
      <w:r w:rsidRPr="00F94F4E">
        <w:rPr>
          <w:rFonts w:ascii="Garamond" w:hAnsi="Garamond" w:cs="Times New Roman"/>
          <w:lang w:val="en-GB"/>
        </w:rPr>
        <w:t xml:space="preserve"> </w:t>
      </w:r>
      <w:r w:rsidRPr="00F94F4E">
        <w:rPr>
          <w:rFonts w:ascii="Garamond" w:hAnsi="Garamond" w:cs="Times New Roman"/>
          <w:i/>
          <w:lang w:val="en-GB"/>
        </w:rPr>
        <w:t>ibid.</w:t>
      </w:r>
      <w:r w:rsidRPr="00F94F4E">
        <w:rPr>
          <w:rFonts w:ascii="Garamond" w:hAnsi="Garamond" w:cs="Times New Roman"/>
          <w:lang w:val="en-GB"/>
        </w:rPr>
        <w:t>, §101.</w:t>
      </w:r>
    </w:p>
  </w:footnote>
  <w:footnote w:id="64">
    <w:p w14:paraId="501A45A5"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lang w:val="en-GB"/>
        </w:rPr>
        <w:footnoteRef/>
      </w:r>
      <w:r w:rsidRPr="00F94F4E">
        <w:rPr>
          <w:rFonts w:ascii="Garamond" w:hAnsi="Garamond" w:cs="Times New Roman"/>
          <w:lang w:val="en-GB"/>
        </w:rPr>
        <w:t xml:space="preserve"> </w:t>
      </w:r>
      <w:r w:rsidRPr="00F94F4E">
        <w:rPr>
          <w:rFonts w:ascii="Garamond" w:hAnsi="Garamond" w:cs="Times New Roman"/>
          <w:i/>
          <w:iCs/>
          <w:lang w:val="en-GB"/>
        </w:rPr>
        <w:t xml:space="preserve">Al-Skeini and </w:t>
      </w:r>
      <w:r w:rsidRPr="00F94F4E">
        <w:rPr>
          <w:rFonts w:ascii="Garamond" w:hAnsi="Garamond" w:cs="Times New Roman"/>
          <w:i/>
          <w:lang w:val="en-GB"/>
        </w:rPr>
        <w:t>Ors</w:t>
      </w:r>
      <w:r w:rsidRPr="00F94F4E">
        <w:rPr>
          <w:rFonts w:ascii="Garamond" w:hAnsi="Garamond" w:cs="Times New Roman"/>
          <w:i/>
          <w:iCs/>
          <w:lang w:val="en-GB"/>
        </w:rPr>
        <w:t xml:space="preserve"> v. United Kingdom</w:t>
      </w:r>
      <w:r w:rsidRPr="00F94F4E">
        <w:rPr>
          <w:rFonts w:ascii="Garamond" w:hAnsi="Garamond" w:cs="Times New Roman"/>
          <w:lang w:val="en-GB"/>
        </w:rPr>
        <w:t xml:space="preserve"> [GC], app. no. 55721/07, 7 July 2011, §132.</w:t>
      </w:r>
    </w:p>
  </w:footnote>
  <w:footnote w:id="65">
    <w:p w14:paraId="1AEEA083"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lang w:val="en-GB"/>
        </w:rPr>
        <w:footnoteRef/>
      </w:r>
      <w:r w:rsidRPr="00F94F4E">
        <w:rPr>
          <w:rFonts w:ascii="Garamond" w:hAnsi="Garamond" w:cs="Times New Roman"/>
          <w:lang w:val="en-GB"/>
        </w:rPr>
        <w:t xml:space="preserve"> For example: </w:t>
      </w:r>
      <w:r w:rsidRPr="00F94F4E">
        <w:rPr>
          <w:rFonts w:ascii="Garamond" w:hAnsi="Garamond" w:cs="Times New Roman"/>
          <w:i/>
          <w:iCs/>
          <w:lang w:val="en-GB"/>
        </w:rPr>
        <w:t>Kovacic and Others v. Slovenia</w:t>
      </w:r>
      <w:r w:rsidRPr="00F94F4E">
        <w:rPr>
          <w:rFonts w:ascii="Garamond" w:hAnsi="Garamond" w:cs="Times New Roman"/>
          <w:iCs/>
          <w:lang w:val="en-GB"/>
        </w:rPr>
        <w:t xml:space="preserve"> [GC]</w:t>
      </w:r>
      <w:r w:rsidRPr="00F94F4E">
        <w:rPr>
          <w:rFonts w:ascii="Garamond" w:hAnsi="Garamond" w:cs="Times New Roman"/>
          <w:lang w:val="en-GB"/>
        </w:rPr>
        <w:t xml:space="preserve">, app. nos. 44574/98 and ors, 9 October 2003; </w:t>
      </w:r>
      <w:r w:rsidRPr="00F94F4E">
        <w:rPr>
          <w:rFonts w:ascii="Garamond" w:hAnsi="Garamond" w:cs="Times New Roman"/>
          <w:i/>
          <w:iCs/>
          <w:lang w:val="en-GB"/>
        </w:rPr>
        <w:t xml:space="preserve">Pad and </w:t>
      </w:r>
      <w:r w:rsidRPr="00F94F4E">
        <w:rPr>
          <w:rFonts w:ascii="Garamond" w:hAnsi="Garamond" w:cs="Times New Roman"/>
          <w:i/>
          <w:lang w:val="en-GB"/>
        </w:rPr>
        <w:t>Others</w:t>
      </w:r>
      <w:r w:rsidRPr="00F94F4E">
        <w:rPr>
          <w:rFonts w:ascii="Garamond" w:hAnsi="Garamond" w:cs="Times New Roman"/>
          <w:i/>
          <w:iCs/>
          <w:lang w:val="en-GB"/>
        </w:rPr>
        <w:t xml:space="preserve"> v. Turkey</w:t>
      </w:r>
      <w:r w:rsidRPr="00F94F4E">
        <w:rPr>
          <w:rFonts w:ascii="Garamond" w:hAnsi="Garamond" w:cs="Times New Roman"/>
          <w:lang w:val="en-GB"/>
        </w:rPr>
        <w:t xml:space="preserve">, app. no. 60167/00, 28 June 2007; </w:t>
      </w:r>
      <w:r w:rsidRPr="00F94F4E">
        <w:rPr>
          <w:rFonts w:ascii="Garamond" w:hAnsi="Garamond" w:cs="Times New Roman"/>
          <w:i/>
          <w:iCs/>
          <w:lang w:val="en-GB"/>
        </w:rPr>
        <w:t xml:space="preserve">Big Brother Watch and </w:t>
      </w:r>
      <w:r w:rsidRPr="00F94F4E">
        <w:rPr>
          <w:rFonts w:ascii="Garamond" w:hAnsi="Garamond" w:cs="Times New Roman"/>
          <w:i/>
          <w:lang w:val="en-GB"/>
        </w:rPr>
        <w:t>Ors</w:t>
      </w:r>
      <w:r w:rsidRPr="00F94F4E">
        <w:rPr>
          <w:rFonts w:ascii="Garamond" w:hAnsi="Garamond" w:cs="Times New Roman"/>
          <w:i/>
          <w:iCs/>
          <w:lang w:val="en-GB"/>
        </w:rPr>
        <w:t xml:space="preserve"> v. United Kingdom</w:t>
      </w:r>
      <w:r w:rsidRPr="00F94F4E">
        <w:rPr>
          <w:rFonts w:ascii="Garamond" w:hAnsi="Garamond" w:cs="Times New Roman"/>
          <w:lang w:val="en-GB"/>
        </w:rPr>
        <w:t xml:space="preserve"> [GC], app. nos. 58170/13 and ors, 25 May 2021.</w:t>
      </w:r>
    </w:p>
  </w:footnote>
  <w:footnote w:id="66">
    <w:p w14:paraId="4F9085B3"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lang w:val="en-GB"/>
        </w:rPr>
        <w:footnoteRef/>
      </w:r>
      <w:r w:rsidRPr="00F94F4E">
        <w:rPr>
          <w:rFonts w:ascii="Garamond" w:hAnsi="Garamond" w:cs="Times New Roman"/>
          <w:lang w:val="en-GB"/>
        </w:rPr>
        <w:t xml:space="preserve"> </w:t>
      </w:r>
      <w:r w:rsidRPr="00F94F4E">
        <w:rPr>
          <w:rFonts w:ascii="Garamond" w:hAnsi="Garamond" w:cs="Times New Roman"/>
          <w:i/>
          <w:iCs/>
          <w:lang w:val="en-GB"/>
        </w:rPr>
        <w:t>Cyprus v. Turkey</w:t>
      </w:r>
      <w:r w:rsidRPr="00F94F4E">
        <w:rPr>
          <w:rFonts w:ascii="Garamond" w:hAnsi="Garamond" w:cs="Times New Roman"/>
          <w:lang w:val="en-GB"/>
        </w:rPr>
        <w:t xml:space="preserve"> [GC], app. no. 25781/94, 10 May 2001, §78.</w:t>
      </w:r>
    </w:p>
  </w:footnote>
  <w:footnote w:id="67">
    <w:p w14:paraId="76660222"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lang w:val="en-GB"/>
        </w:rPr>
        <w:footnoteRef/>
      </w:r>
      <w:r w:rsidRPr="00F94F4E">
        <w:rPr>
          <w:rFonts w:ascii="Garamond" w:hAnsi="Garamond" w:cs="Times New Roman"/>
          <w:lang w:val="en-GB"/>
        </w:rPr>
        <w:t xml:space="preserve"> </w:t>
      </w:r>
      <w:r w:rsidRPr="00F94F4E">
        <w:rPr>
          <w:rStyle w:val="cf01"/>
          <w:rFonts w:ascii="Garamond" w:hAnsi="Garamond" w:cs="Times New Roman"/>
          <w:lang w:val="en-GB"/>
        </w:rPr>
        <w:t xml:space="preserve">The Applicant observes that obligations can be divided and tailored: </w:t>
      </w:r>
      <w:r w:rsidRPr="00F94F4E">
        <w:rPr>
          <w:rStyle w:val="cf01"/>
          <w:rFonts w:ascii="Garamond" w:hAnsi="Garamond" w:cs="Times New Roman"/>
          <w:i/>
          <w:iCs/>
          <w:lang w:val="en-GB"/>
        </w:rPr>
        <w:t>Al-Skeini</w:t>
      </w:r>
      <w:r w:rsidRPr="00F94F4E">
        <w:rPr>
          <w:rStyle w:val="cf01"/>
          <w:rFonts w:ascii="Garamond" w:hAnsi="Garamond" w:cs="Times New Roman"/>
          <w:iCs/>
          <w:lang w:val="en-GB"/>
        </w:rPr>
        <w:t>,</w:t>
      </w:r>
      <w:r w:rsidRPr="00F94F4E">
        <w:rPr>
          <w:rStyle w:val="cf01"/>
          <w:rFonts w:ascii="Garamond" w:hAnsi="Garamond" w:cs="Times New Roman"/>
          <w:lang w:val="en-GB"/>
        </w:rPr>
        <w:t xml:space="preserve"> §137. Jurisdiction can therefore be established with respect to a limited range of positive obligations in appropriate cases: </w:t>
      </w:r>
      <w:r w:rsidRPr="00F94F4E">
        <w:rPr>
          <w:rFonts w:ascii="Garamond" w:hAnsi="Garamond" w:cs="Times New Roman"/>
          <w:i/>
          <w:iCs/>
          <w:lang w:val="en-GB"/>
        </w:rPr>
        <w:t>Treska v. Albania and Italy</w:t>
      </w:r>
      <w:r w:rsidRPr="00F94F4E">
        <w:rPr>
          <w:rFonts w:ascii="Garamond" w:hAnsi="Garamond" w:cs="Times New Roman"/>
          <w:lang w:val="en-GB"/>
        </w:rPr>
        <w:t>, app. no. 26937/04, 29 June 2006, pp. 12-13.</w:t>
      </w:r>
    </w:p>
  </w:footnote>
  <w:footnote w:id="68">
    <w:p w14:paraId="426CD7F3"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lang w:val="en-GB"/>
        </w:rPr>
        <w:footnoteRef/>
      </w:r>
      <w:r w:rsidRPr="00F94F4E">
        <w:rPr>
          <w:rFonts w:ascii="Garamond" w:hAnsi="Garamond" w:cs="Times New Roman"/>
          <w:lang w:val="en-GB"/>
        </w:rPr>
        <w:t xml:space="preserve"> The Applicant highlights cases where the inability of a territorial State to protect applicants’ rights without the action of extraterritorial States has been a factor going towards jurisdiction: </w:t>
      </w:r>
      <w:r w:rsidRPr="00F94F4E">
        <w:rPr>
          <w:rFonts w:ascii="Garamond" w:hAnsi="Garamond" w:cs="Times New Roman"/>
          <w:i/>
          <w:iCs/>
          <w:lang w:val="en-GB"/>
        </w:rPr>
        <w:t>Güzelyurtlu and Others v. Cyprus and Turkey</w:t>
      </w:r>
      <w:r w:rsidRPr="00F94F4E">
        <w:rPr>
          <w:rFonts w:ascii="Garamond" w:hAnsi="Garamond" w:cs="Times New Roman"/>
          <w:iCs/>
          <w:lang w:val="en-GB"/>
        </w:rPr>
        <w:t xml:space="preserve"> </w:t>
      </w:r>
      <w:r w:rsidRPr="00F94F4E">
        <w:rPr>
          <w:rFonts w:ascii="Garamond" w:hAnsi="Garamond" w:cs="Times New Roman"/>
          <w:lang w:val="en-GB"/>
        </w:rPr>
        <w:t xml:space="preserve">[GC], app. no. 36925/07, 29 January 2019, §§193-194; </w:t>
      </w:r>
      <w:r w:rsidRPr="00F94F4E">
        <w:rPr>
          <w:rFonts w:ascii="Garamond" w:hAnsi="Garamond" w:cs="Times New Roman"/>
          <w:i/>
          <w:iCs/>
          <w:lang w:val="en-GB"/>
        </w:rPr>
        <w:t>Hanan v. Germany</w:t>
      </w:r>
      <w:r w:rsidRPr="00F94F4E">
        <w:rPr>
          <w:rFonts w:ascii="Garamond" w:hAnsi="Garamond" w:cs="Times New Roman"/>
          <w:i/>
          <w:lang w:val="en-GB"/>
        </w:rPr>
        <w:t xml:space="preserve"> </w:t>
      </w:r>
      <w:r w:rsidRPr="00F94F4E">
        <w:rPr>
          <w:rFonts w:ascii="Garamond" w:hAnsi="Garamond" w:cs="Times New Roman"/>
          <w:lang w:val="en-GB"/>
        </w:rPr>
        <w:t xml:space="preserve">[GC], app. no. 4871/16, 16 February 2021; </w:t>
      </w:r>
      <w:r w:rsidRPr="00F94F4E">
        <w:rPr>
          <w:rFonts w:ascii="Garamond" w:hAnsi="Garamond" w:cs="Times New Roman"/>
          <w:i/>
          <w:iCs/>
          <w:lang w:val="en-GB"/>
        </w:rPr>
        <w:t>Rantsev v. Cyprus and Russia</w:t>
      </w:r>
      <w:r w:rsidRPr="00F94F4E">
        <w:rPr>
          <w:rFonts w:ascii="Garamond" w:hAnsi="Garamond" w:cs="Times New Roman"/>
          <w:lang w:val="en-GB"/>
        </w:rPr>
        <w:t>, app. no. 25965/04, 10 May 2010, §245.</w:t>
      </w:r>
    </w:p>
  </w:footnote>
  <w:footnote w:id="69">
    <w:p w14:paraId="64A55A05"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lang w:val="en-GB"/>
        </w:rPr>
        <w:footnoteRef/>
      </w:r>
      <w:r w:rsidRPr="00F94F4E">
        <w:rPr>
          <w:rFonts w:ascii="Garamond" w:hAnsi="Garamond" w:cs="Times New Roman"/>
          <w:lang w:val="en-GB"/>
        </w:rPr>
        <w:t xml:space="preserve"> Cases where causation has been a material factor include: </w:t>
      </w:r>
      <w:r w:rsidRPr="00F94F4E">
        <w:rPr>
          <w:rFonts w:ascii="Garamond" w:hAnsi="Garamond" w:cs="Times New Roman"/>
          <w:i/>
          <w:iCs/>
          <w:lang w:val="en-GB"/>
        </w:rPr>
        <w:t>Andreou v. Turkey</w:t>
      </w:r>
      <w:r w:rsidRPr="00F94F4E">
        <w:rPr>
          <w:rFonts w:ascii="Garamond" w:hAnsi="Garamond" w:cs="Times New Roman"/>
          <w:lang w:val="en-GB"/>
        </w:rPr>
        <w:t xml:space="preserve">, app. no. 45653/99, 3 June 2008, p. 11; </w:t>
      </w:r>
      <w:r w:rsidRPr="00F94F4E">
        <w:rPr>
          <w:rFonts w:ascii="Garamond" w:hAnsi="Garamond" w:cs="Times New Roman"/>
          <w:i/>
          <w:iCs/>
          <w:lang w:val="en-GB"/>
        </w:rPr>
        <w:t>Stephens v. Malta</w:t>
      </w:r>
      <w:r w:rsidRPr="00F94F4E">
        <w:rPr>
          <w:rFonts w:ascii="Garamond" w:hAnsi="Garamond" w:cs="Times New Roman"/>
          <w:iCs/>
          <w:lang w:val="en-GB"/>
        </w:rPr>
        <w:t xml:space="preserve"> (no. 1),</w:t>
      </w:r>
      <w:r w:rsidRPr="00F94F4E">
        <w:rPr>
          <w:rFonts w:ascii="Garamond" w:hAnsi="Garamond" w:cs="Times New Roman"/>
          <w:lang w:val="en-GB"/>
        </w:rPr>
        <w:t xml:space="preserve"> no. 11956/07, 14 September 2009, §51; </w:t>
      </w:r>
      <w:r w:rsidRPr="00F94F4E">
        <w:rPr>
          <w:rFonts w:ascii="Garamond" w:hAnsi="Garamond" w:cs="Times New Roman"/>
          <w:i/>
          <w:iCs/>
          <w:lang w:val="en-GB"/>
        </w:rPr>
        <w:t>Ilascu and Others v. Moldova and Russia</w:t>
      </w:r>
      <w:r w:rsidRPr="00F94F4E">
        <w:rPr>
          <w:rFonts w:ascii="Garamond" w:hAnsi="Garamond" w:cs="Times New Roman"/>
          <w:i/>
          <w:lang w:val="en-GB"/>
        </w:rPr>
        <w:t xml:space="preserve"> </w:t>
      </w:r>
      <w:r w:rsidRPr="00F94F4E">
        <w:rPr>
          <w:rFonts w:ascii="Garamond" w:hAnsi="Garamond" w:cs="Times New Roman"/>
          <w:lang w:val="en-GB"/>
        </w:rPr>
        <w:t xml:space="preserve">[GC], app. no. 48787/99, 8 July 2004, §317; </w:t>
      </w:r>
      <w:r w:rsidRPr="00F94F4E">
        <w:rPr>
          <w:rFonts w:ascii="Garamond" w:hAnsi="Garamond" w:cs="Times New Roman"/>
          <w:i/>
          <w:iCs/>
          <w:lang w:val="en-GB"/>
        </w:rPr>
        <w:t>Kovacic</w:t>
      </w:r>
      <w:r w:rsidRPr="00F94F4E">
        <w:rPr>
          <w:rFonts w:ascii="Garamond" w:hAnsi="Garamond" w:cs="Times New Roman"/>
          <w:lang w:val="en-GB"/>
        </w:rPr>
        <w:t xml:space="preserve">; </w:t>
      </w:r>
      <w:r w:rsidRPr="00F94F4E">
        <w:rPr>
          <w:rFonts w:ascii="Garamond" w:hAnsi="Garamond" w:cs="Times New Roman"/>
          <w:i/>
          <w:iCs/>
          <w:lang w:val="en-GB"/>
        </w:rPr>
        <w:t>Pad</w:t>
      </w:r>
      <w:r w:rsidRPr="00F94F4E">
        <w:rPr>
          <w:rFonts w:ascii="Garamond" w:hAnsi="Garamond" w:cs="Times New Roman"/>
          <w:lang w:val="en-GB"/>
        </w:rPr>
        <w:t xml:space="preserve">; </w:t>
      </w:r>
      <w:r w:rsidRPr="00F94F4E">
        <w:rPr>
          <w:rFonts w:ascii="Garamond" w:hAnsi="Garamond" w:cs="Times New Roman"/>
          <w:i/>
          <w:iCs/>
          <w:lang w:val="en-GB"/>
        </w:rPr>
        <w:t>Big Brother</w:t>
      </w:r>
      <w:r w:rsidRPr="00F94F4E">
        <w:rPr>
          <w:rFonts w:ascii="Garamond" w:hAnsi="Garamond" w:cs="Times New Roman"/>
          <w:lang w:val="en-GB"/>
        </w:rPr>
        <w:t>.</w:t>
      </w:r>
    </w:p>
  </w:footnote>
  <w:footnote w:id="70">
    <w:p w14:paraId="367B5C5E" w14:textId="77777777" w:rsidR="008D4DEB" w:rsidRPr="00051593" w:rsidRDefault="008D4DEB" w:rsidP="008D4DEB">
      <w:pPr>
        <w:pStyle w:val="Notedebasdepage"/>
        <w:jc w:val="both"/>
        <w:rPr>
          <w:rFonts w:ascii="Garamond" w:hAnsi="Garamond" w:cs="Times New Roman"/>
          <w:lang w:val="es-ES"/>
        </w:rPr>
      </w:pPr>
      <w:r w:rsidRPr="00F94F4E">
        <w:rPr>
          <w:rStyle w:val="Appelnotedebasdep"/>
          <w:rFonts w:ascii="Garamond" w:hAnsi="Garamond"/>
          <w:lang w:val="en-GB"/>
        </w:rPr>
        <w:footnoteRef/>
      </w:r>
      <w:r w:rsidRPr="00F94F4E">
        <w:rPr>
          <w:rFonts w:ascii="Garamond" w:hAnsi="Garamond" w:cs="Times New Roman"/>
          <w:lang w:val="en-GB"/>
        </w:rPr>
        <w:t xml:space="preserve"> This was endorsed by the UNCRC in </w:t>
      </w:r>
      <w:r w:rsidRPr="00F94F4E">
        <w:rPr>
          <w:rFonts w:ascii="Garamond" w:hAnsi="Garamond" w:cs="Times New Roman"/>
          <w:i/>
          <w:iCs/>
          <w:lang w:val="en-GB"/>
        </w:rPr>
        <w:t>Sacchi et al v. Argentina et al</w:t>
      </w:r>
      <w:r w:rsidRPr="00F94F4E">
        <w:rPr>
          <w:rFonts w:ascii="Garamond" w:hAnsi="Garamond" w:cs="Times New Roman"/>
          <w:lang w:val="en-GB"/>
        </w:rPr>
        <w:t xml:space="preserve"> (2021), Communication No. 107/2019, §10.8-10.12. </w:t>
      </w:r>
      <w:r w:rsidRPr="00051593">
        <w:rPr>
          <w:rFonts w:ascii="Garamond" w:hAnsi="Garamond" w:cs="Times New Roman"/>
          <w:lang w:val="es-ES"/>
        </w:rPr>
        <w:t xml:space="preserve">See also: </w:t>
      </w:r>
      <w:r w:rsidRPr="00051593">
        <w:rPr>
          <w:rFonts w:ascii="Garamond" w:eastAsia="Times New Roman" w:hAnsi="Garamond" w:cs="Times New Roman"/>
          <w:color w:val="000000"/>
          <w:lang w:val="es-ES"/>
        </w:rPr>
        <w:t xml:space="preserve">UNHRC, </w:t>
      </w:r>
      <w:r w:rsidRPr="00051593">
        <w:rPr>
          <w:rFonts w:ascii="Garamond" w:hAnsi="Garamond" w:cs="Times New Roman"/>
          <w:iCs/>
          <w:lang w:val="es-ES"/>
        </w:rPr>
        <w:t xml:space="preserve">General Comment No. 36 </w:t>
      </w:r>
      <w:r w:rsidRPr="00051593">
        <w:rPr>
          <w:rFonts w:ascii="Garamond" w:hAnsi="Garamond" w:cs="Times New Roman"/>
          <w:lang w:val="es-ES"/>
        </w:rPr>
        <w:t xml:space="preserve">(2018), UN Doc CCPR/C/GC/36, §63; </w:t>
      </w:r>
      <w:r w:rsidRPr="00051593">
        <w:rPr>
          <w:rFonts w:ascii="Garamond" w:eastAsia="Times New Roman" w:hAnsi="Garamond" w:cs="Times New Roman"/>
          <w:color w:val="000000"/>
          <w:lang w:val="es-ES"/>
        </w:rPr>
        <w:t>UNHRC</w:t>
      </w:r>
      <w:r w:rsidRPr="00051593">
        <w:rPr>
          <w:rFonts w:ascii="Garamond" w:hAnsi="Garamond" w:cs="Times New Roman"/>
          <w:lang w:val="es-ES"/>
        </w:rPr>
        <w:t xml:space="preserve">, General Comment No. 24 (2017), UN Doc E/C.12/GC/24, §§26-27; IACHR, </w:t>
      </w:r>
      <w:r w:rsidRPr="00051593">
        <w:rPr>
          <w:rFonts w:ascii="Garamond" w:eastAsia="Times New Roman" w:hAnsi="Garamond" w:cs="Times New Roman"/>
          <w:i/>
          <w:lang w:val="es-ES"/>
        </w:rPr>
        <w:t>Medio Ambiente y Derechos Humanos</w:t>
      </w:r>
      <w:r w:rsidRPr="00051593">
        <w:rPr>
          <w:rFonts w:ascii="Garamond" w:eastAsia="Times New Roman" w:hAnsi="Garamond" w:cs="Times New Roman"/>
          <w:lang w:val="es-ES"/>
        </w:rPr>
        <w:t xml:space="preserve"> (2017) Advisory Opinion OC-23/17, §§</w:t>
      </w:r>
      <w:r w:rsidRPr="00051593">
        <w:rPr>
          <w:rFonts w:ascii="Garamond" w:eastAsia="Times New Roman" w:hAnsi="Garamond" w:cs="Times New Roman"/>
          <w:color w:val="000000"/>
          <w:lang w:val="es-ES"/>
        </w:rPr>
        <w:t>101-103.</w:t>
      </w:r>
    </w:p>
  </w:footnote>
  <w:footnote w:id="71">
    <w:p w14:paraId="359340DD"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lang w:val="en-GB"/>
        </w:rPr>
        <w:footnoteRef/>
      </w:r>
      <w:r w:rsidRPr="00F94F4E">
        <w:rPr>
          <w:rFonts w:ascii="Garamond" w:hAnsi="Garamond" w:cs="Times New Roman"/>
          <w:lang w:val="en-GB"/>
        </w:rPr>
        <w:t xml:space="preserve"> Cases where foreseeability and/or knowledge has been a factor include: </w:t>
      </w:r>
      <w:r w:rsidRPr="00F94F4E">
        <w:rPr>
          <w:rFonts w:ascii="Garamond" w:hAnsi="Garamond" w:cs="Times New Roman"/>
          <w:i/>
          <w:iCs/>
          <w:lang w:val="en-GB"/>
        </w:rPr>
        <w:t>Stephens</w:t>
      </w:r>
      <w:r w:rsidRPr="00F94F4E">
        <w:rPr>
          <w:rFonts w:ascii="Garamond" w:hAnsi="Garamond" w:cs="Times New Roman"/>
          <w:lang w:val="en-GB"/>
        </w:rPr>
        <w:t xml:space="preserve">, §51; </w:t>
      </w:r>
      <w:r w:rsidRPr="00F94F4E">
        <w:rPr>
          <w:rFonts w:ascii="Garamond" w:hAnsi="Garamond" w:cs="Times New Roman"/>
          <w:i/>
          <w:iCs/>
          <w:lang w:val="en-GB"/>
        </w:rPr>
        <w:t>Kovacic</w:t>
      </w:r>
      <w:r w:rsidRPr="00F94F4E">
        <w:rPr>
          <w:rFonts w:ascii="Garamond" w:hAnsi="Garamond" w:cs="Times New Roman"/>
          <w:lang w:val="en-GB"/>
        </w:rPr>
        <w:t xml:space="preserve">, p. 55; </w:t>
      </w:r>
      <w:r w:rsidRPr="00F94F4E">
        <w:rPr>
          <w:rFonts w:ascii="Garamond" w:hAnsi="Garamond" w:cs="Times New Roman"/>
          <w:i/>
          <w:iCs/>
          <w:lang w:val="en-GB"/>
        </w:rPr>
        <w:t xml:space="preserve">Zouboulidis v. Greece </w:t>
      </w:r>
      <w:r w:rsidRPr="00F94F4E">
        <w:rPr>
          <w:rFonts w:ascii="Garamond" w:hAnsi="Garamond" w:cs="Times New Roman"/>
          <w:iCs/>
          <w:lang w:val="en-GB"/>
        </w:rPr>
        <w:t>(No.2),</w:t>
      </w:r>
      <w:r w:rsidRPr="00F94F4E">
        <w:rPr>
          <w:rFonts w:ascii="Garamond" w:hAnsi="Garamond" w:cs="Times New Roman"/>
          <w:lang w:val="en-GB"/>
        </w:rPr>
        <w:t xml:space="preserve"> app. no. 36963/06, 6 November 2009; </w:t>
      </w:r>
      <w:r w:rsidRPr="00F94F4E">
        <w:rPr>
          <w:rFonts w:ascii="Garamond" w:hAnsi="Garamond" w:cs="Times New Roman"/>
          <w:i/>
          <w:iCs/>
          <w:lang w:val="en-GB"/>
        </w:rPr>
        <w:t>Tarnopolskaya and Others v. Russia</w:t>
      </w:r>
      <w:r w:rsidRPr="00F94F4E">
        <w:rPr>
          <w:rFonts w:ascii="Garamond" w:hAnsi="Garamond" w:cs="Times New Roman"/>
          <w:lang w:val="en-GB"/>
        </w:rPr>
        <w:t>, app. nos. 11093/07 &amp; ors, 28 June 2010.</w:t>
      </w:r>
    </w:p>
  </w:footnote>
  <w:footnote w:id="72">
    <w:p w14:paraId="6D2C3965" w14:textId="77777777" w:rsidR="008D4DEB" w:rsidRPr="00F94F4E" w:rsidRDefault="008D4DEB" w:rsidP="008D4DEB">
      <w:pPr>
        <w:pStyle w:val="Notedebasdepage"/>
        <w:jc w:val="both"/>
        <w:rPr>
          <w:rFonts w:ascii="Garamond" w:hAnsi="Garamond"/>
          <w:lang w:val="en-GB"/>
        </w:rPr>
      </w:pPr>
      <w:r w:rsidRPr="00F94F4E">
        <w:rPr>
          <w:rStyle w:val="Appelnotedebasdep"/>
          <w:rFonts w:ascii="Garamond" w:hAnsi="Garamond"/>
        </w:rPr>
        <w:footnoteRef/>
      </w:r>
      <w:r w:rsidRPr="00F94F4E">
        <w:rPr>
          <w:rFonts w:ascii="Garamond" w:hAnsi="Garamond"/>
          <w:lang w:val="en-GB"/>
        </w:rPr>
        <w:t xml:space="preserve"> Date of adoption of the UNFCCC.</w:t>
      </w:r>
    </w:p>
  </w:footnote>
  <w:footnote w:id="73">
    <w:p w14:paraId="54A2D319"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lang w:val="en-GB"/>
        </w:rPr>
        <w:footnoteRef/>
      </w:r>
      <w:r w:rsidRPr="00F94F4E">
        <w:rPr>
          <w:rFonts w:ascii="Garamond" w:hAnsi="Garamond" w:cs="Times New Roman"/>
          <w:lang w:val="en-GB"/>
        </w:rPr>
        <w:t xml:space="preserve"> The foreseeability of climate impacts and its relevance to jurisdiction was recognised in </w:t>
      </w:r>
      <w:r w:rsidRPr="00F94F4E">
        <w:rPr>
          <w:rFonts w:ascii="Garamond" w:hAnsi="Garamond" w:cs="Times New Roman"/>
          <w:i/>
          <w:iCs/>
          <w:lang w:val="en-GB"/>
        </w:rPr>
        <w:t>Sacchi</w:t>
      </w:r>
      <w:r w:rsidRPr="00F94F4E">
        <w:rPr>
          <w:rFonts w:ascii="Garamond" w:hAnsi="Garamond" w:cs="Times New Roman"/>
          <w:lang w:val="en-GB"/>
        </w:rPr>
        <w:t xml:space="preserve">. </w:t>
      </w:r>
    </w:p>
  </w:footnote>
  <w:footnote w:id="74">
    <w:p w14:paraId="05894638"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lang w:val="en-GB"/>
        </w:rPr>
        <w:footnoteRef/>
      </w:r>
      <w:r w:rsidRPr="00F94F4E">
        <w:rPr>
          <w:rFonts w:ascii="Garamond" w:hAnsi="Garamond" w:cs="Times New Roman"/>
          <w:lang w:val="en-GB"/>
        </w:rPr>
        <w:t xml:space="preserve"> Contrast to cases involving “</w:t>
      </w:r>
      <w:r w:rsidRPr="00F94F4E">
        <w:rPr>
          <w:rFonts w:ascii="Garamond" w:hAnsi="Garamond" w:cs="Times New Roman"/>
          <w:iCs/>
          <w:lang w:val="en-GB"/>
        </w:rPr>
        <w:t>instantaneous”</w:t>
      </w:r>
      <w:r w:rsidRPr="00F94F4E">
        <w:rPr>
          <w:rFonts w:ascii="Garamond" w:hAnsi="Garamond" w:cs="Times New Roman"/>
          <w:lang w:val="en-GB"/>
        </w:rPr>
        <w:t xml:space="preserve"> acts: </w:t>
      </w:r>
      <w:r w:rsidRPr="00F94F4E">
        <w:rPr>
          <w:rFonts w:ascii="Garamond" w:hAnsi="Garamond" w:cs="Times New Roman"/>
          <w:i/>
          <w:iCs/>
          <w:lang w:val="en-GB"/>
        </w:rPr>
        <w:t>Medvedyev and Others v. France</w:t>
      </w:r>
      <w:r w:rsidRPr="00F94F4E">
        <w:rPr>
          <w:rFonts w:ascii="Garamond" w:hAnsi="Garamond" w:cs="Times New Roman"/>
          <w:lang w:val="en-GB"/>
        </w:rPr>
        <w:t xml:space="preserve"> [GC], app. no. 3394/03, 29 March 2010, §64;</w:t>
      </w:r>
      <w:r w:rsidRPr="00F94F4E">
        <w:rPr>
          <w:rFonts w:ascii="Garamond" w:hAnsi="Garamond" w:cs="Times New Roman"/>
          <w:bCs/>
          <w:lang w:val="en-GB"/>
        </w:rPr>
        <w:t xml:space="preserve"> </w:t>
      </w:r>
      <w:r w:rsidRPr="00F94F4E">
        <w:rPr>
          <w:rFonts w:ascii="Garamond" w:hAnsi="Garamond" w:cs="Times New Roman"/>
          <w:i/>
          <w:iCs/>
          <w:lang w:val="en-GB"/>
        </w:rPr>
        <w:t>Hirsi Jamaa and Others v. Italy</w:t>
      </w:r>
      <w:r w:rsidRPr="00F94F4E">
        <w:rPr>
          <w:rFonts w:ascii="Garamond" w:hAnsi="Garamond" w:cs="Times New Roman"/>
          <w:lang w:val="en-GB"/>
        </w:rPr>
        <w:t xml:space="preserve"> [GC], app. no. 27765/09, 23 February 2012, §73; </w:t>
      </w:r>
      <w:r w:rsidRPr="00F94F4E">
        <w:rPr>
          <w:rFonts w:ascii="Garamond" w:hAnsi="Garamond" w:cs="Times New Roman"/>
          <w:i/>
          <w:iCs/>
          <w:lang w:val="en-GB"/>
        </w:rPr>
        <w:t>Georgia v. Russia</w:t>
      </w:r>
      <w:r w:rsidRPr="00F94F4E">
        <w:rPr>
          <w:rFonts w:ascii="Garamond" w:hAnsi="Garamond" w:cs="Times New Roman"/>
          <w:iCs/>
          <w:lang w:val="en-GB"/>
        </w:rPr>
        <w:t xml:space="preserve"> (II)</w:t>
      </w:r>
      <w:r w:rsidRPr="00F94F4E">
        <w:rPr>
          <w:rFonts w:ascii="Garamond" w:hAnsi="Garamond" w:cs="Times New Roman"/>
          <w:lang w:val="en-GB"/>
        </w:rPr>
        <w:t xml:space="preserve"> [GC], app. no. 38263/08, 21 January 2021, §124.</w:t>
      </w:r>
    </w:p>
  </w:footnote>
  <w:footnote w:id="75">
    <w:p w14:paraId="7E57878A"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lang w:val="en-GB"/>
        </w:rPr>
        <w:footnoteRef/>
      </w:r>
      <w:r w:rsidRPr="00F94F4E">
        <w:rPr>
          <w:rFonts w:ascii="Garamond" w:hAnsi="Garamond" w:cs="Times New Roman"/>
          <w:lang w:val="en-GB"/>
        </w:rPr>
        <w:t xml:space="preserve"> Contrast to cases involving extraterritorial cases, as per the previous footnote. UNHRC, General Comment 36, CCPR/C/GC/36, §22.</w:t>
      </w:r>
    </w:p>
  </w:footnote>
  <w:footnote w:id="76">
    <w:p w14:paraId="7EF7B7FC"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lang w:val="en-GB"/>
        </w:rPr>
        <w:footnoteRef/>
      </w:r>
      <w:r w:rsidRPr="00F94F4E">
        <w:rPr>
          <w:rFonts w:ascii="Garamond" w:hAnsi="Garamond" w:cs="Times New Roman"/>
          <w:lang w:val="en-GB"/>
        </w:rPr>
        <w:t xml:space="preserve"> </w:t>
      </w:r>
      <w:r w:rsidRPr="00F94F4E">
        <w:rPr>
          <w:rStyle w:val="cf01"/>
          <w:rFonts w:ascii="Garamond" w:hAnsi="Garamond" w:cs="Times New Roman"/>
          <w:lang w:val="en-GB"/>
        </w:rPr>
        <w:t xml:space="preserve">Pursuant to Article 31(3) of the Vienna Convention on the Law of Treaties, the Court takes into account any relevant rules of international law in interpreting the Convention: </w:t>
      </w:r>
      <w:r w:rsidRPr="00F94F4E">
        <w:rPr>
          <w:rStyle w:val="cf11"/>
          <w:rFonts w:ascii="Garamond" w:hAnsi="Garamond" w:cs="Times New Roman"/>
          <w:sz w:val="20"/>
          <w:szCs w:val="20"/>
          <w:lang w:val="en-GB"/>
        </w:rPr>
        <w:t>Jaloud v. Netherlands</w:t>
      </w:r>
      <w:r w:rsidRPr="00F94F4E">
        <w:rPr>
          <w:rStyle w:val="cf21"/>
          <w:rFonts w:ascii="Garamond" w:hAnsi="Garamond" w:cs="Times New Roman"/>
          <w:lang w:val="en-GB"/>
        </w:rPr>
        <w:t xml:space="preserve"> [GC], app. no. 47708/08, 20 November 2014</w:t>
      </w:r>
      <w:r w:rsidRPr="00F94F4E">
        <w:rPr>
          <w:rStyle w:val="cf01"/>
          <w:rFonts w:ascii="Garamond" w:hAnsi="Garamond" w:cs="Times New Roman"/>
          <w:lang w:val="en-GB"/>
        </w:rPr>
        <w:t>, §141.</w:t>
      </w:r>
    </w:p>
  </w:footnote>
  <w:footnote w:id="77">
    <w:p w14:paraId="005A2C52"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lang w:val="en-GB"/>
        </w:rPr>
        <w:footnoteRef/>
      </w:r>
      <w:r w:rsidRPr="00F94F4E">
        <w:rPr>
          <w:rFonts w:ascii="Garamond" w:hAnsi="Garamond" w:cs="Times New Roman"/>
          <w:lang w:val="en-GB"/>
        </w:rPr>
        <w:t xml:space="preserve"> </w:t>
      </w:r>
      <w:r w:rsidRPr="00F94F4E">
        <w:rPr>
          <w:rFonts w:ascii="Garamond" w:hAnsi="Garamond" w:cs="Times New Roman"/>
          <w:i/>
          <w:iCs/>
          <w:lang w:val="en-GB"/>
        </w:rPr>
        <w:t>Burden v. United Kingdom</w:t>
      </w:r>
      <w:r w:rsidRPr="00F94F4E">
        <w:rPr>
          <w:rFonts w:ascii="Garamond" w:hAnsi="Garamond" w:cs="Times New Roman"/>
          <w:iCs/>
          <w:lang w:val="en-GB"/>
        </w:rPr>
        <w:t xml:space="preserve"> [GC]</w:t>
      </w:r>
      <w:r w:rsidRPr="00F94F4E">
        <w:rPr>
          <w:rFonts w:ascii="Garamond" w:hAnsi="Garamond" w:cs="Times New Roman"/>
          <w:lang w:val="en-GB"/>
        </w:rPr>
        <w:t xml:space="preserve">, app. no. 13378/05, 29 April 2008, §33; </w:t>
      </w:r>
      <w:r w:rsidRPr="00F94F4E">
        <w:rPr>
          <w:rFonts w:ascii="Garamond" w:hAnsi="Garamond" w:cs="Times New Roman"/>
          <w:i/>
          <w:lang w:val="en-GB"/>
        </w:rPr>
        <w:t>Centre for Legal Resources on behalf of Valentin Câmpeanu v. Romania</w:t>
      </w:r>
      <w:r w:rsidRPr="00F94F4E">
        <w:rPr>
          <w:rFonts w:ascii="Garamond" w:hAnsi="Garamond" w:cs="Times New Roman"/>
          <w:lang w:val="en-GB"/>
        </w:rPr>
        <w:t xml:space="preserve"> [GC], app. no. 47848/08, 17 July 2014, §96; </w:t>
      </w:r>
      <w:r w:rsidRPr="00F94F4E">
        <w:rPr>
          <w:rFonts w:ascii="Garamond" w:hAnsi="Garamond" w:cs="Times New Roman"/>
          <w:i/>
          <w:lang w:val="en-GB"/>
        </w:rPr>
        <w:t>Roman Zakharov v. Russia</w:t>
      </w:r>
      <w:r w:rsidRPr="00F94F4E">
        <w:rPr>
          <w:rFonts w:ascii="Garamond" w:hAnsi="Garamond" w:cs="Times New Roman"/>
          <w:lang w:val="en-GB"/>
        </w:rPr>
        <w:t xml:space="preserve"> [GC], app. no. 47143/06, 4 December 2015, §164; </w:t>
      </w:r>
      <w:r w:rsidRPr="00F94F4E">
        <w:rPr>
          <w:rFonts w:ascii="Garamond" w:hAnsi="Garamond" w:cs="Times New Roman"/>
          <w:i/>
          <w:lang w:val="en-GB"/>
        </w:rPr>
        <w:t>Caron and others v. France</w:t>
      </w:r>
      <w:r w:rsidRPr="00F94F4E">
        <w:rPr>
          <w:rFonts w:ascii="Garamond" w:hAnsi="Garamond" w:cs="Times New Roman"/>
          <w:lang w:val="en-GB"/>
        </w:rPr>
        <w:t>, app. no. 48629/08, 29 June 2010, §1.</w:t>
      </w:r>
    </w:p>
  </w:footnote>
  <w:footnote w:id="78">
    <w:p w14:paraId="1E62FD50"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lang w:val="en-GB"/>
        </w:rPr>
        <w:footnoteRef/>
      </w:r>
      <w:r w:rsidRPr="00F94F4E">
        <w:rPr>
          <w:rFonts w:ascii="Garamond" w:hAnsi="Garamond" w:cs="Times New Roman"/>
          <w:lang w:val="en-GB"/>
        </w:rPr>
        <w:t xml:space="preserve"> </w:t>
      </w:r>
      <w:r w:rsidRPr="00F94F4E">
        <w:rPr>
          <w:rFonts w:ascii="Garamond" w:eastAsia="Calibri-Italic" w:hAnsi="Garamond" w:cs="Times New Roman"/>
          <w:i/>
          <w:iCs/>
          <w:lang w:val="en-GB"/>
        </w:rPr>
        <w:t>Brumărescu v. Romania</w:t>
      </w:r>
      <w:r w:rsidRPr="00F94F4E">
        <w:rPr>
          <w:rFonts w:ascii="Garamond" w:eastAsia="Calibri-Italic" w:hAnsi="Garamond" w:cs="Times New Roman"/>
          <w:iCs/>
          <w:lang w:val="en-GB"/>
        </w:rPr>
        <w:t xml:space="preserve"> [GC]</w:t>
      </w:r>
      <w:r w:rsidRPr="00F94F4E">
        <w:rPr>
          <w:rFonts w:ascii="Garamond" w:eastAsia="Calibri-Italic" w:hAnsi="Garamond" w:cs="Times New Roman"/>
          <w:lang w:val="en-GB"/>
        </w:rPr>
        <w:t>, app. no. 28342/95, 28</w:t>
      </w:r>
      <w:r w:rsidRPr="00F94F4E">
        <w:rPr>
          <w:rFonts w:ascii="Garamond" w:hAnsi="Garamond" w:cs="Times New Roman"/>
          <w:lang w:val="en-GB"/>
        </w:rPr>
        <w:t xml:space="preserve"> October 1999, </w:t>
      </w:r>
      <w:r w:rsidRPr="00F94F4E">
        <w:rPr>
          <w:rFonts w:ascii="Garamond" w:eastAsia="Calibri-Italic" w:hAnsi="Garamond" w:cs="Times New Roman"/>
          <w:lang w:val="en-GB"/>
        </w:rPr>
        <w:t>§50.</w:t>
      </w:r>
    </w:p>
  </w:footnote>
  <w:footnote w:id="79">
    <w:p w14:paraId="569CB064" w14:textId="77777777" w:rsidR="008D4DEB" w:rsidRPr="00F94F4E" w:rsidRDefault="008D4DEB" w:rsidP="008D4DEB">
      <w:pPr>
        <w:pStyle w:val="Notedebasdepage"/>
        <w:jc w:val="both"/>
        <w:rPr>
          <w:rFonts w:ascii="Garamond" w:eastAsia="Calibri-Italic" w:hAnsi="Garamond" w:cs="Times New Roman"/>
          <w:i/>
          <w:lang w:val="en-GB"/>
        </w:rPr>
      </w:pPr>
      <w:r w:rsidRPr="00F94F4E">
        <w:rPr>
          <w:rStyle w:val="Appelnotedebasdep"/>
          <w:rFonts w:ascii="Garamond" w:hAnsi="Garamond" w:cs="Times New Roman"/>
          <w:lang w:val="en-GB"/>
        </w:rPr>
        <w:footnoteRef/>
      </w:r>
      <w:r w:rsidRPr="00F94F4E">
        <w:rPr>
          <w:rFonts w:ascii="Garamond" w:hAnsi="Garamond" w:cs="Times New Roman"/>
          <w:lang w:val="en-GB"/>
        </w:rPr>
        <w:t xml:space="preserve"> </w:t>
      </w:r>
      <w:r w:rsidRPr="00F94F4E">
        <w:rPr>
          <w:rFonts w:ascii="Garamond" w:eastAsia="Calibri-Italic" w:hAnsi="Garamond" w:cs="Times New Roman"/>
          <w:i/>
          <w:iCs/>
          <w:lang w:val="en-GB"/>
        </w:rPr>
        <w:t>Senator Lines GMBH v Austria and Others</w:t>
      </w:r>
      <w:r w:rsidRPr="00F94F4E">
        <w:rPr>
          <w:rFonts w:ascii="Garamond" w:eastAsia="Calibri-Italic" w:hAnsi="Garamond" w:cs="Times New Roman"/>
          <w:iCs/>
          <w:lang w:val="en-GB"/>
        </w:rPr>
        <w:t>, a</w:t>
      </w:r>
      <w:r w:rsidRPr="00F94F4E">
        <w:rPr>
          <w:rFonts w:ascii="Garamond" w:eastAsia="Calibri-Italic" w:hAnsi="Garamond" w:cs="Times New Roman"/>
          <w:lang w:val="en-GB"/>
        </w:rPr>
        <w:t xml:space="preserve">pp. no. 56672/00, </w:t>
      </w:r>
      <w:r w:rsidRPr="00F94F4E">
        <w:rPr>
          <w:rFonts w:ascii="Garamond" w:hAnsi="Garamond" w:cs="Times New Roman"/>
          <w:lang w:val="en-GB"/>
        </w:rPr>
        <w:t>10 March 2004,</w:t>
      </w:r>
      <w:r w:rsidRPr="00F94F4E">
        <w:rPr>
          <w:rFonts w:ascii="Garamond" w:eastAsia="Calibri-Italic" w:hAnsi="Garamond" w:cs="Times New Roman"/>
          <w:iCs/>
          <w:lang w:val="en-GB"/>
        </w:rPr>
        <w:t xml:space="preserve"> </w:t>
      </w:r>
      <w:r w:rsidRPr="00F94F4E">
        <w:rPr>
          <w:rFonts w:ascii="Garamond" w:eastAsia="Calibri-Italic" w:hAnsi="Garamond" w:cs="Times New Roman"/>
          <w:lang w:val="en-GB"/>
        </w:rPr>
        <w:t xml:space="preserve">p. 11; </w:t>
      </w:r>
      <w:r w:rsidRPr="00F94F4E">
        <w:rPr>
          <w:rFonts w:ascii="Garamond" w:eastAsia="Calibri-Italic" w:hAnsi="Garamond" w:cs="Times New Roman"/>
          <w:i/>
          <w:lang w:val="en-GB"/>
        </w:rPr>
        <w:t>Tauira and others v. France</w:t>
      </w:r>
      <w:r w:rsidRPr="00F94F4E">
        <w:rPr>
          <w:rFonts w:ascii="Garamond" w:eastAsia="Calibri-Italic" w:hAnsi="Garamond" w:cs="Times New Roman"/>
          <w:lang w:val="en-GB"/>
        </w:rPr>
        <w:t xml:space="preserve">, app. no. 28204/95 (Commission Decision, 4 December 1995), 131; </w:t>
      </w:r>
      <w:r w:rsidRPr="00F94F4E">
        <w:rPr>
          <w:rFonts w:ascii="Garamond" w:eastAsia="Calibri-Italic" w:hAnsi="Garamond" w:cs="Times New Roman"/>
          <w:i/>
          <w:lang w:val="en-GB"/>
        </w:rPr>
        <w:t>Aly Bernard and others v. Luxembourg</w:t>
      </w:r>
      <w:r w:rsidRPr="00F94F4E">
        <w:rPr>
          <w:rFonts w:ascii="Garamond" w:eastAsia="Calibri-Italic" w:hAnsi="Garamond" w:cs="Times New Roman"/>
          <w:lang w:val="en-GB"/>
        </w:rPr>
        <w:t xml:space="preserve">, app. no. 29197/95, 29 June 1999, 6; </w:t>
      </w:r>
      <w:r w:rsidRPr="00F94F4E">
        <w:rPr>
          <w:rFonts w:ascii="Garamond" w:eastAsia="Calibri-Italic" w:hAnsi="Garamond" w:cs="Times New Roman"/>
          <w:i/>
          <w:lang w:val="en-GB"/>
        </w:rPr>
        <w:t>Segi and others &amp; Gestoras Pro-Amnistia and others v. 15 States of the European Union</w:t>
      </w:r>
      <w:r w:rsidRPr="00F94F4E">
        <w:rPr>
          <w:rFonts w:ascii="Garamond" w:eastAsia="Calibri-Italic" w:hAnsi="Garamond" w:cs="Times New Roman"/>
          <w:lang w:val="en-GB"/>
        </w:rPr>
        <w:t>, app. nos. 6422/02 and 9916/02, 23 May 2002, 7.</w:t>
      </w:r>
    </w:p>
  </w:footnote>
  <w:footnote w:id="80">
    <w:p w14:paraId="5427DBBF"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lang w:val="en-GB"/>
        </w:rPr>
        <w:footnoteRef/>
      </w:r>
      <w:r w:rsidRPr="00F94F4E">
        <w:rPr>
          <w:rFonts w:ascii="Garamond" w:hAnsi="Garamond" w:cs="Times New Roman"/>
          <w:lang w:val="en-GB"/>
        </w:rPr>
        <w:t xml:space="preserve"> </w:t>
      </w:r>
      <w:r w:rsidRPr="00F94F4E">
        <w:rPr>
          <w:rFonts w:ascii="Garamond" w:hAnsi="Garamond" w:cs="Times New Roman"/>
          <w:i/>
          <w:iCs/>
          <w:lang w:val="en-GB"/>
        </w:rPr>
        <w:t>Gorraiz Lizarraga and others v. Spain</w:t>
      </w:r>
      <w:r w:rsidRPr="00F94F4E">
        <w:rPr>
          <w:rFonts w:ascii="Garamond" w:hAnsi="Garamond" w:cs="Times New Roman"/>
          <w:lang w:val="en-GB"/>
        </w:rPr>
        <w:t xml:space="preserve">, app. no. 62543/00, 27 April 2004, §38; Relating to a law punishing homosexual acts, see </w:t>
      </w:r>
      <w:r w:rsidRPr="00F94F4E">
        <w:rPr>
          <w:rFonts w:ascii="Garamond" w:hAnsi="Garamond" w:cs="Times New Roman"/>
          <w:i/>
          <w:iCs/>
          <w:lang w:val="en-GB"/>
        </w:rPr>
        <w:t>Dudgeon v. United Kingdom</w:t>
      </w:r>
      <w:r w:rsidRPr="00F94F4E">
        <w:rPr>
          <w:rFonts w:ascii="Garamond" w:hAnsi="Garamond" w:cs="Times New Roman"/>
          <w:lang w:val="en-GB"/>
        </w:rPr>
        <w:t>, app. no. 7525/76, 22 October 1981, §40-41.</w:t>
      </w:r>
    </w:p>
  </w:footnote>
  <w:footnote w:id="81">
    <w:p w14:paraId="18260C0D" w14:textId="77777777" w:rsidR="008D4DEB" w:rsidRPr="00F94F4E" w:rsidRDefault="008D4DEB" w:rsidP="008D4DEB">
      <w:pPr>
        <w:pStyle w:val="Notedebasdepage"/>
        <w:jc w:val="both"/>
        <w:rPr>
          <w:rFonts w:ascii="Garamond" w:hAnsi="Garamond"/>
          <w:lang w:val="en-GB"/>
        </w:rPr>
      </w:pPr>
      <w:r w:rsidRPr="00F94F4E">
        <w:rPr>
          <w:rStyle w:val="Appelnotedebasdep"/>
          <w:rFonts w:ascii="Garamond" w:hAnsi="Garamond"/>
          <w:lang w:val="en-GB"/>
        </w:rPr>
        <w:footnoteRef/>
      </w:r>
      <w:r w:rsidRPr="00F94F4E">
        <w:rPr>
          <w:rFonts w:ascii="Garamond" w:hAnsi="Garamond"/>
          <w:lang w:val="en-GB"/>
        </w:rPr>
        <w:t xml:space="preserve"> </w:t>
      </w:r>
      <w:r w:rsidRPr="00F94F4E">
        <w:rPr>
          <w:rFonts w:ascii="Garamond" w:hAnsi="Garamond"/>
          <w:i/>
          <w:lang w:val="en-GB"/>
        </w:rPr>
        <w:t>Roman Zakharov v. Russia</w:t>
      </w:r>
      <w:r w:rsidRPr="00F94F4E">
        <w:rPr>
          <w:rFonts w:ascii="Garamond" w:hAnsi="Garamond"/>
          <w:lang w:val="en-GB"/>
        </w:rPr>
        <w:t xml:space="preserve"> [GC], app. no. 47143/06, 4 December 2015, §165, citing </w:t>
      </w:r>
      <w:r w:rsidRPr="00F94F4E">
        <w:rPr>
          <w:rFonts w:ascii="Garamond" w:hAnsi="Garamond"/>
          <w:i/>
          <w:lang w:val="en-GB"/>
        </w:rPr>
        <w:t>Klass and others v Germany</w:t>
      </w:r>
      <w:r w:rsidRPr="00F94F4E">
        <w:rPr>
          <w:rFonts w:ascii="Garamond" w:hAnsi="Garamond"/>
          <w:lang w:val="en-GB"/>
        </w:rPr>
        <w:t>, app. no. 5029/71, 6 September 1978, §36.</w:t>
      </w:r>
    </w:p>
  </w:footnote>
  <w:footnote w:id="82">
    <w:p w14:paraId="06A90426" w14:textId="77777777" w:rsidR="008D4DEB" w:rsidRPr="00F94F4E" w:rsidRDefault="008D4DEB" w:rsidP="008D4DEB">
      <w:pPr>
        <w:pStyle w:val="Notedebasdepage"/>
        <w:jc w:val="both"/>
        <w:rPr>
          <w:rFonts w:ascii="Garamond" w:hAnsi="Garamond"/>
          <w:lang w:val="en-GB"/>
        </w:rPr>
      </w:pPr>
      <w:r w:rsidRPr="00F94F4E">
        <w:rPr>
          <w:rStyle w:val="Appelnotedebasdep"/>
          <w:rFonts w:ascii="Garamond" w:hAnsi="Garamond"/>
          <w:lang w:val="en-GB"/>
        </w:rPr>
        <w:footnoteRef/>
      </w:r>
      <w:r w:rsidRPr="00F94F4E">
        <w:rPr>
          <w:rFonts w:ascii="Garamond" w:hAnsi="Garamond"/>
          <w:lang w:val="en-GB"/>
        </w:rPr>
        <w:t xml:space="preserve"> </w:t>
      </w:r>
      <w:r w:rsidRPr="00F94F4E">
        <w:rPr>
          <w:rFonts w:ascii="Garamond" w:hAnsi="Garamond" w:cs="Times New Roman"/>
          <w:i/>
          <w:lang w:val="en-GB"/>
        </w:rPr>
        <w:t>Centre for Legal Resources on behalf of Valentin Câmpeanu v. Romania</w:t>
      </w:r>
      <w:r w:rsidRPr="00F94F4E">
        <w:rPr>
          <w:rFonts w:ascii="Garamond" w:hAnsi="Garamond"/>
          <w:lang w:val="en-GB"/>
        </w:rPr>
        <w:t>, §112.</w:t>
      </w:r>
    </w:p>
  </w:footnote>
  <w:footnote w:id="83">
    <w:p w14:paraId="1D10ECD7" w14:textId="77777777" w:rsidR="008D4DEB" w:rsidRPr="00F94F4E" w:rsidRDefault="008D4DEB" w:rsidP="008D4DEB">
      <w:pPr>
        <w:pStyle w:val="Notedebasdepage"/>
        <w:jc w:val="both"/>
        <w:rPr>
          <w:rFonts w:ascii="Garamond" w:hAnsi="Garamond"/>
          <w:lang w:val="en-GB"/>
        </w:rPr>
      </w:pPr>
      <w:r w:rsidRPr="00F94F4E">
        <w:rPr>
          <w:rStyle w:val="Appelnotedebasdep"/>
          <w:rFonts w:ascii="Garamond" w:hAnsi="Garamond"/>
          <w:lang w:val="en-GB"/>
        </w:rPr>
        <w:footnoteRef/>
      </w:r>
      <w:r w:rsidRPr="00F94F4E">
        <w:rPr>
          <w:rFonts w:ascii="Garamond" w:hAnsi="Garamond"/>
          <w:lang w:val="en-GB"/>
        </w:rPr>
        <w:t xml:space="preserve"> </w:t>
      </w:r>
      <w:r w:rsidRPr="00F94F4E">
        <w:rPr>
          <w:rFonts w:ascii="Garamond" w:hAnsi="Garamond" w:cs="Times New Roman"/>
          <w:i/>
          <w:iCs/>
          <w:lang w:val="en-GB"/>
        </w:rPr>
        <w:t>Burden v. United Kingdom</w:t>
      </w:r>
      <w:r w:rsidRPr="00F94F4E">
        <w:rPr>
          <w:rFonts w:ascii="Garamond" w:hAnsi="Garamond"/>
          <w:lang w:val="en-GB"/>
        </w:rPr>
        <w:t xml:space="preserve">, §34; </w:t>
      </w:r>
      <w:r w:rsidRPr="00F94F4E">
        <w:rPr>
          <w:rFonts w:ascii="Garamond" w:hAnsi="Garamond"/>
          <w:i/>
          <w:lang w:val="en-GB"/>
        </w:rPr>
        <w:t>Tanase v. Moldova</w:t>
      </w:r>
      <w:r w:rsidRPr="00F94F4E">
        <w:rPr>
          <w:rFonts w:ascii="Garamond" w:hAnsi="Garamond"/>
          <w:lang w:val="en-GB"/>
        </w:rPr>
        <w:t xml:space="preserve"> [GC], app. no. 7/08, 27 April 2010, §104; </w:t>
      </w:r>
      <w:r w:rsidRPr="00F94F4E">
        <w:rPr>
          <w:rFonts w:ascii="Garamond" w:hAnsi="Garamond"/>
          <w:i/>
          <w:lang w:val="en-GB"/>
        </w:rPr>
        <w:t>Sejdic and Finci v. Bosnia and Herzegovina</w:t>
      </w:r>
      <w:r w:rsidRPr="00F94F4E">
        <w:rPr>
          <w:rFonts w:ascii="Garamond" w:hAnsi="Garamond"/>
          <w:lang w:val="en-GB"/>
        </w:rPr>
        <w:t xml:space="preserve"> [GC], app. nos. 27996/06 and 34836/06, 22 December 2009, §28.</w:t>
      </w:r>
    </w:p>
  </w:footnote>
  <w:footnote w:id="84">
    <w:p w14:paraId="2D5AAF13" w14:textId="77777777" w:rsidR="008D4DEB" w:rsidRPr="00F94F4E" w:rsidRDefault="008D4DEB" w:rsidP="008D4DEB">
      <w:pPr>
        <w:pStyle w:val="Notedebasdepage"/>
        <w:jc w:val="both"/>
        <w:rPr>
          <w:rFonts w:ascii="Garamond" w:hAnsi="Garamond"/>
          <w:lang w:val="en-GB"/>
        </w:rPr>
      </w:pPr>
      <w:r w:rsidRPr="00F94F4E">
        <w:rPr>
          <w:rStyle w:val="Appelnotedebasdep"/>
          <w:rFonts w:ascii="Garamond" w:hAnsi="Garamond"/>
          <w:lang w:val="en-GB"/>
        </w:rPr>
        <w:footnoteRef/>
      </w:r>
      <w:r w:rsidRPr="00F94F4E">
        <w:rPr>
          <w:rFonts w:ascii="Garamond" w:hAnsi="Garamond"/>
          <w:lang w:val="en-GB"/>
        </w:rPr>
        <w:t xml:space="preserve"> </w:t>
      </w:r>
      <w:r w:rsidRPr="00F94F4E">
        <w:rPr>
          <w:rFonts w:ascii="Garamond" w:hAnsi="Garamond"/>
          <w:i/>
          <w:lang w:val="en-GB"/>
        </w:rPr>
        <w:t>Taşkin and others v. Turkey</w:t>
      </w:r>
      <w:r w:rsidRPr="00F94F4E">
        <w:rPr>
          <w:rFonts w:ascii="Garamond" w:hAnsi="Garamond"/>
          <w:lang w:val="en-GB"/>
        </w:rPr>
        <w:t xml:space="preserve">, app. no. 46117/99, 10 November 2004, §113; </w:t>
      </w:r>
      <w:r w:rsidRPr="00F94F4E">
        <w:rPr>
          <w:rFonts w:ascii="Garamond" w:hAnsi="Garamond"/>
          <w:i/>
          <w:lang w:val="en-GB"/>
        </w:rPr>
        <w:t>Moreno Gomez v. Spain</w:t>
      </w:r>
      <w:r w:rsidRPr="00F94F4E">
        <w:rPr>
          <w:rFonts w:ascii="Garamond" w:hAnsi="Garamond"/>
          <w:lang w:val="en-GB"/>
        </w:rPr>
        <w:t xml:space="preserve">, app. no. 4143/02, 16 November 2004), §59; </w:t>
      </w:r>
      <w:r w:rsidRPr="00F94F4E">
        <w:rPr>
          <w:rFonts w:ascii="Garamond" w:hAnsi="Garamond"/>
          <w:i/>
          <w:lang w:val="en-GB"/>
        </w:rPr>
        <w:t>Fadeyeva v. Russia</w:t>
      </w:r>
      <w:r w:rsidRPr="00F94F4E">
        <w:rPr>
          <w:rFonts w:ascii="Garamond" w:hAnsi="Garamond"/>
          <w:lang w:val="en-GB"/>
        </w:rPr>
        <w:t xml:space="preserve">, app. no. 55723/00, 9 June 2005, §88; </w:t>
      </w:r>
      <w:r w:rsidRPr="00F94F4E">
        <w:rPr>
          <w:rFonts w:ascii="Garamond" w:hAnsi="Garamond" w:cs="Times New Roman"/>
          <w:i/>
          <w:iCs/>
          <w:lang w:val="en-GB"/>
        </w:rPr>
        <w:t xml:space="preserve">Tătar </w:t>
      </w:r>
      <w:r w:rsidRPr="00F94F4E">
        <w:rPr>
          <w:rFonts w:ascii="Garamond" w:hAnsi="Garamond"/>
          <w:i/>
          <w:lang w:val="en-GB"/>
        </w:rPr>
        <w:t>v. Romania</w:t>
      </w:r>
      <w:r w:rsidRPr="00F94F4E">
        <w:rPr>
          <w:rFonts w:ascii="Garamond" w:hAnsi="Garamond"/>
          <w:lang w:val="en-GB"/>
        </w:rPr>
        <w:t xml:space="preserve">, app. no. 67021/01, 27 January 2009, §§96-97 and 107; </w:t>
      </w:r>
      <w:r w:rsidRPr="00F94F4E">
        <w:rPr>
          <w:rFonts w:ascii="Garamond" w:hAnsi="Garamond"/>
          <w:i/>
          <w:lang w:val="en-GB"/>
        </w:rPr>
        <w:t>Dubetska and others v. Ukraine</w:t>
      </w:r>
      <w:r w:rsidRPr="00F94F4E">
        <w:rPr>
          <w:rFonts w:ascii="Garamond" w:hAnsi="Garamond"/>
          <w:lang w:val="en-GB"/>
        </w:rPr>
        <w:t xml:space="preserve">, app. no. 30499/03, 10 February 2011, §111; </w:t>
      </w:r>
      <w:r w:rsidRPr="00F94F4E">
        <w:rPr>
          <w:rFonts w:ascii="Garamond" w:hAnsi="Garamond"/>
          <w:i/>
          <w:lang w:val="en-GB"/>
        </w:rPr>
        <w:t>Grimkovskaya v. Ukraine</w:t>
      </w:r>
      <w:r w:rsidRPr="00F94F4E">
        <w:rPr>
          <w:rFonts w:ascii="Garamond" w:hAnsi="Garamond"/>
          <w:lang w:val="en-GB"/>
        </w:rPr>
        <w:t xml:space="preserve">, app. no. 38182/03, 21 July 2011, §§60-63; </w:t>
      </w:r>
      <w:r w:rsidRPr="00F94F4E">
        <w:rPr>
          <w:rFonts w:ascii="Garamond" w:hAnsi="Garamond"/>
          <w:i/>
          <w:lang w:val="en-GB"/>
        </w:rPr>
        <w:t>Hardy and Maile v. United Kingdom</w:t>
      </w:r>
      <w:r w:rsidRPr="00F94F4E">
        <w:rPr>
          <w:rFonts w:ascii="Garamond" w:hAnsi="Garamond"/>
          <w:lang w:val="en-GB"/>
        </w:rPr>
        <w:t>, app. no. 31965/07, 14 February 2012, §§190-192.</w:t>
      </w:r>
    </w:p>
  </w:footnote>
  <w:footnote w:id="85">
    <w:p w14:paraId="0AFB43DF"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lang w:val="en-GB"/>
        </w:rPr>
        <w:footnoteRef/>
      </w:r>
      <w:r w:rsidRPr="00F94F4E">
        <w:rPr>
          <w:rFonts w:ascii="Garamond" w:hAnsi="Garamond" w:cs="Times New Roman"/>
          <w:lang w:val="en-GB"/>
        </w:rPr>
        <w:t xml:space="preserve"> UN Human Rights Council, Resolution 10/4 “Human rights and climate change”, UN Doc A/HRC/RES/10/4 (March 2009).</w:t>
      </w:r>
    </w:p>
  </w:footnote>
  <w:footnote w:id="86">
    <w:p w14:paraId="64677EED" w14:textId="77777777" w:rsidR="008D4DEB" w:rsidRPr="002769D8" w:rsidRDefault="008D4DEB" w:rsidP="008D4DEB">
      <w:pPr>
        <w:pStyle w:val="Notedebasdepage"/>
        <w:jc w:val="both"/>
        <w:rPr>
          <w:rFonts w:ascii="Garamond" w:hAnsi="Garamond" w:cs="Times New Roman"/>
          <w:lang w:val="en-GB"/>
        </w:rPr>
      </w:pPr>
      <w:r w:rsidRPr="002769D8">
        <w:rPr>
          <w:rStyle w:val="Appelnotedebasdep"/>
          <w:rFonts w:ascii="Garamond" w:hAnsi="Garamond" w:cs="Times New Roman"/>
          <w:lang w:val="en-GB"/>
        </w:rPr>
        <w:footnoteRef/>
      </w:r>
      <w:r w:rsidRPr="002769D8">
        <w:rPr>
          <w:rFonts w:ascii="Garamond" w:hAnsi="Garamond" w:cs="Times New Roman"/>
          <w:lang w:val="en-GB"/>
        </w:rPr>
        <w:t xml:space="preserve"> IPCC, 2018: </w:t>
      </w:r>
      <w:r w:rsidRPr="002769D8">
        <w:rPr>
          <w:rFonts w:ascii="Garamond" w:hAnsi="Garamond" w:cs="Times New Roman"/>
          <w:iCs/>
          <w:lang w:val="en-GB"/>
        </w:rPr>
        <w:t xml:space="preserve">Summary for Policymakers. </w:t>
      </w:r>
      <w:bookmarkStart w:id="36" w:name="_Hlk106641047"/>
      <w:r w:rsidRPr="002769D8">
        <w:rPr>
          <w:rFonts w:ascii="Garamond" w:hAnsi="Garamond" w:cs="Times New Roman"/>
          <w:iCs/>
          <w:lang w:val="en-GB"/>
        </w:rPr>
        <w:t>Global Warming of 1.5°C</w:t>
      </w:r>
      <w:bookmarkEnd w:id="36"/>
      <w:r w:rsidRPr="002769D8">
        <w:rPr>
          <w:rFonts w:ascii="Garamond" w:hAnsi="Garamond" w:cs="Times New Roman"/>
          <w:lang w:val="en-GB"/>
        </w:rPr>
        <w:t>, §B.5.2</w:t>
      </w:r>
    </w:p>
  </w:footnote>
  <w:footnote w:id="87">
    <w:p w14:paraId="717D3DC9" w14:textId="77777777" w:rsidR="008D4DEB" w:rsidRPr="002769D8" w:rsidRDefault="008D4DEB" w:rsidP="008D4DEB">
      <w:pPr>
        <w:pStyle w:val="Notedebasdepage"/>
        <w:jc w:val="both"/>
        <w:rPr>
          <w:rFonts w:ascii="Garamond" w:hAnsi="Garamond" w:cs="Times New Roman"/>
          <w:lang w:val="en-GB"/>
        </w:rPr>
      </w:pPr>
      <w:r w:rsidRPr="002769D8">
        <w:rPr>
          <w:rStyle w:val="Appelnotedebasdep"/>
          <w:rFonts w:ascii="Garamond" w:hAnsi="Garamond" w:cs="Times New Roman"/>
          <w:lang w:val="en-GB"/>
        </w:rPr>
        <w:footnoteRef/>
      </w:r>
      <w:r w:rsidRPr="002769D8">
        <w:rPr>
          <w:rFonts w:ascii="Garamond" w:hAnsi="Garamond" w:cs="Times New Roman"/>
          <w:lang w:val="en-GB"/>
        </w:rPr>
        <w:t xml:space="preserve"> </w:t>
      </w:r>
      <w:r w:rsidRPr="002769D8">
        <w:rPr>
          <w:rFonts w:ascii="Garamond" w:eastAsia="Calibri" w:hAnsi="Garamond" w:cs="Times New Roman"/>
          <w:lang w:val="en-GB"/>
        </w:rPr>
        <w:t>A.3.1</w:t>
      </w:r>
      <w:r w:rsidRPr="002769D8">
        <w:rPr>
          <w:rFonts w:ascii="Garamond" w:hAnsi="Garamond" w:cs="Times New Roman"/>
          <w:lang w:val="en-GB"/>
        </w:rPr>
        <w:t xml:space="preserve">, IPCC, 2018: </w:t>
      </w:r>
      <w:r w:rsidRPr="002769D8">
        <w:rPr>
          <w:rFonts w:ascii="Garamond" w:hAnsi="Garamond" w:cs="Times New Roman"/>
          <w:iCs/>
          <w:lang w:val="en-GB"/>
        </w:rPr>
        <w:t>Summary for Policymakers. Global Warming of 1.5°C</w:t>
      </w:r>
      <w:r w:rsidRPr="002769D8">
        <w:rPr>
          <w:rFonts w:ascii="Garamond" w:hAnsi="Garamond" w:cs="Times New Roman"/>
          <w:lang w:val="en-GB"/>
        </w:rPr>
        <w:t>).</w:t>
      </w:r>
    </w:p>
  </w:footnote>
  <w:footnote w:id="88">
    <w:p w14:paraId="6CB8333D" w14:textId="77777777" w:rsidR="008D4DEB" w:rsidRPr="002769D8" w:rsidRDefault="008D4DEB" w:rsidP="008D4DEB">
      <w:pPr>
        <w:pStyle w:val="Notedebasdepage"/>
        <w:jc w:val="both"/>
        <w:rPr>
          <w:rFonts w:ascii="Garamond" w:hAnsi="Garamond" w:cs="Times New Roman"/>
          <w:lang w:val="en-GB"/>
        </w:rPr>
      </w:pPr>
      <w:r w:rsidRPr="002769D8">
        <w:rPr>
          <w:rStyle w:val="Appelnotedebasdep"/>
          <w:rFonts w:ascii="Garamond" w:hAnsi="Garamond" w:cs="Times New Roman"/>
          <w:lang w:val="en-GB"/>
        </w:rPr>
        <w:footnoteRef/>
      </w:r>
      <w:r w:rsidRPr="002769D8">
        <w:rPr>
          <w:rFonts w:ascii="Garamond" w:hAnsi="Garamond" w:cs="Times New Roman"/>
          <w:lang w:val="en-GB"/>
        </w:rPr>
        <w:t xml:space="preserve"> IPCC, AR6-WGII, </w:t>
      </w:r>
      <w:r w:rsidRPr="002769D8">
        <w:rPr>
          <w:rFonts w:ascii="Garamond" w:hAnsi="Garamond" w:cs="Times New Roman"/>
          <w:iCs/>
          <w:lang w:val="en-GB"/>
        </w:rPr>
        <w:t>Summary for Policymakers, pp. 11 and 13/§§B.1 and B.1.4</w:t>
      </w:r>
      <w:r w:rsidRPr="002769D8">
        <w:rPr>
          <w:rFonts w:ascii="Garamond" w:hAnsi="Garamond" w:cs="Times New Roman"/>
          <w:lang w:val="en-GB"/>
        </w:rPr>
        <w:t>): “</w:t>
      </w:r>
      <w:r w:rsidRPr="002769D8">
        <w:rPr>
          <w:rFonts w:ascii="Garamond" w:hAnsi="Garamond" w:cs="Times New Roman"/>
          <w:i/>
          <w:lang w:val="en-GB"/>
        </w:rPr>
        <w:t>Human-induced climate change, including more frequent and intense extreme events, has caused widespread adverse impacts and related losses and damages to nature and people</w:t>
      </w:r>
      <w:r w:rsidRPr="002769D8">
        <w:rPr>
          <w:rFonts w:ascii="Garamond" w:hAnsi="Garamond" w:cs="Times New Roman"/>
          <w:lang w:val="en-GB"/>
        </w:rPr>
        <w:t>”.</w:t>
      </w:r>
    </w:p>
  </w:footnote>
  <w:footnote w:id="89">
    <w:p w14:paraId="7192A8AA" w14:textId="77777777" w:rsidR="008D4DEB" w:rsidRPr="00F94F4E" w:rsidRDefault="008D4DEB" w:rsidP="008D4DEB">
      <w:pPr>
        <w:jc w:val="both"/>
        <w:rPr>
          <w:rFonts w:ascii="Garamond" w:eastAsia="Calibri" w:hAnsi="Garamond" w:cs="Times New Roman"/>
          <w:sz w:val="20"/>
          <w:szCs w:val="20"/>
          <w:lang w:val="en-GB"/>
        </w:rPr>
      </w:pPr>
      <w:r w:rsidRPr="002769D8">
        <w:rPr>
          <w:rStyle w:val="Appelnotedebasdep"/>
          <w:rFonts w:ascii="Garamond" w:hAnsi="Garamond" w:cs="Times New Roman"/>
          <w:sz w:val="20"/>
          <w:szCs w:val="20"/>
          <w:lang w:val="en-GB"/>
        </w:rPr>
        <w:footnoteRef/>
      </w:r>
      <w:r w:rsidRPr="002769D8">
        <w:rPr>
          <w:rFonts w:ascii="Garamond" w:hAnsi="Garamond" w:cs="Times New Roman"/>
          <w:sz w:val="20"/>
          <w:szCs w:val="20"/>
          <w:lang w:val="en-GB"/>
        </w:rPr>
        <w:t xml:space="preserve"> </w:t>
      </w:r>
      <w:r w:rsidRPr="002769D8">
        <w:rPr>
          <w:rFonts w:ascii="Garamond" w:eastAsia="Calibri" w:hAnsi="Garamond" w:cs="Times New Roman"/>
          <w:sz w:val="20"/>
          <w:szCs w:val="20"/>
          <w:lang w:val="en-GB"/>
        </w:rPr>
        <w:t>WHO, “COP26 Special Report on Climate Change and Health, The Health Argument for Climate Action – Business Summary” (2021).</w:t>
      </w:r>
    </w:p>
  </w:footnote>
  <w:footnote w:id="90">
    <w:p w14:paraId="225D6531" w14:textId="77777777" w:rsidR="008D4DEB" w:rsidRPr="00F94F4E" w:rsidRDefault="008D4DEB" w:rsidP="008D4DEB">
      <w:pPr>
        <w:pStyle w:val="Notedebasdepage"/>
        <w:jc w:val="both"/>
        <w:rPr>
          <w:rFonts w:ascii="Garamond" w:hAnsi="Garamond"/>
          <w:lang w:val="en-GB"/>
        </w:rPr>
      </w:pPr>
      <w:r w:rsidRPr="00F94F4E">
        <w:rPr>
          <w:rStyle w:val="Appelnotedebasdep"/>
          <w:rFonts w:ascii="Garamond" w:hAnsi="Garamond"/>
        </w:rPr>
        <w:footnoteRef/>
      </w:r>
      <w:r w:rsidRPr="00F94F4E">
        <w:rPr>
          <w:rFonts w:ascii="Garamond" w:hAnsi="Garamond"/>
          <w:lang w:val="en-GB"/>
        </w:rPr>
        <w:t xml:space="preserve"> </w:t>
      </w:r>
      <w:r w:rsidRPr="00F94F4E">
        <w:rPr>
          <w:rFonts w:ascii="Garamond" w:hAnsi="Garamond" w:cs="Times New Roman"/>
          <w:lang w:val="en-GB"/>
        </w:rPr>
        <w:t xml:space="preserve">IPCC, AR6-WGII, </w:t>
      </w:r>
      <w:r w:rsidRPr="00F94F4E">
        <w:rPr>
          <w:rFonts w:ascii="Garamond" w:hAnsi="Garamond" w:cs="Times New Roman"/>
          <w:iCs/>
          <w:lang w:val="en-GB"/>
        </w:rPr>
        <w:t>Summary for Policymakers</w:t>
      </w:r>
      <w:r w:rsidRPr="00F94F4E">
        <w:rPr>
          <w:rFonts w:ascii="Garamond" w:hAnsi="Garamond" w:cs="Times New Roman"/>
          <w:lang w:val="en-GB"/>
        </w:rPr>
        <w:t>, p. 13/§B.1.4)</w:t>
      </w:r>
      <w:r w:rsidRPr="00F94F4E">
        <w:rPr>
          <w:rFonts w:ascii="Garamond" w:hAnsi="Garamond"/>
          <w:lang w:val="en-GB"/>
        </w:rPr>
        <w:t>.</w:t>
      </w:r>
    </w:p>
  </w:footnote>
  <w:footnote w:id="91">
    <w:p w14:paraId="73FFBDC6"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lang w:val="en-GB"/>
        </w:rPr>
        <w:footnoteRef/>
      </w:r>
      <w:r w:rsidRPr="00F94F4E">
        <w:rPr>
          <w:rFonts w:ascii="Garamond" w:hAnsi="Garamond" w:cs="Times New Roman"/>
          <w:lang w:val="en-GB"/>
        </w:rPr>
        <w:t xml:space="preserve"> See V. Clemens and al., “Report of the intergovernmental panel on climate change: implications for the mental health policy of children and adolescents in Europe—a scoping review” (2020) </w:t>
      </w:r>
      <w:r w:rsidRPr="00F94F4E">
        <w:rPr>
          <w:rFonts w:ascii="Garamond" w:hAnsi="Garamond" w:cs="Times New Roman"/>
          <w:iCs/>
          <w:lang w:val="en-GB"/>
        </w:rPr>
        <w:t>Eur Child Adolesc Psychiatry</w:t>
      </w:r>
      <w:r w:rsidRPr="00F94F4E">
        <w:rPr>
          <w:rFonts w:ascii="Garamond" w:hAnsi="Garamond" w:cs="Times New Roman"/>
          <w:lang w:val="en-GB"/>
        </w:rPr>
        <w:t xml:space="preserve">; Charlson F, Ali S, Benmarhnia T, et al. “Climate Change and Mental Health: A Scoping Review” (2021) </w:t>
      </w:r>
      <w:r w:rsidRPr="00F94F4E">
        <w:rPr>
          <w:rFonts w:ascii="Garamond" w:hAnsi="Garamond" w:cs="Times New Roman"/>
          <w:iCs/>
          <w:lang w:val="en-GB"/>
        </w:rPr>
        <w:t>Int J Environ Res Public Health</w:t>
      </w:r>
      <w:r w:rsidRPr="00F94F4E">
        <w:rPr>
          <w:rFonts w:ascii="Garamond" w:hAnsi="Garamond" w:cs="Times New Roman"/>
          <w:lang w:val="en-GB"/>
        </w:rPr>
        <w:t xml:space="preserve"> 18(9), 4486.</w:t>
      </w:r>
    </w:p>
  </w:footnote>
  <w:footnote w:id="92">
    <w:p w14:paraId="35203EE1" w14:textId="77777777" w:rsidR="008D4DEB" w:rsidRPr="00F94F4E" w:rsidRDefault="008D4DEB" w:rsidP="008D4DEB">
      <w:pPr>
        <w:pStyle w:val="Notedebasdepage"/>
        <w:jc w:val="both"/>
        <w:rPr>
          <w:rFonts w:ascii="Garamond" w:hAnsi="Garamond"/>
          <w:lang w:val="en-GB"/>
        </w:rPr>
      </w:pPr>
      <w:r w:rsidRPr="00F94F4E">
        <w:rPr>
          <w:rStyle w:val="Appelnotedebasdep"/>
          <w:rFonts w:ascii="Garamond" w:hAnsi="Garamond"/>
        </w:rPr>
        <w:footnoteRef/>
      </w:r>
      <w:r w:rsidRPr="00F94F4E">
        <w:rPr>
          <w:rFonts w:ascii="Garamond" w:hAnsi="Garamond"/>
          <w:lang w:val="en-GB"/>
        </w:rPr>
        <w:t xml:space="preserve"> European Environment Agency website, Global and European temperatures (18 Nov. 2021), https://www.eea.europa.eu/ims/global-and-european-temperatures [last accessed 17 June 2022]. </w:t>
      </w:r>
    </w:p>
  </w:footnote>
  <w:footnote w:id="93">
    <w:p w14:paraId="31191196"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lang w:val="en-GB"/>
        </w:rPr>
        <w:footnoteRef/>
      </w:r>
      <w:r w:rsidRPr="00F94F4E">
        <w:rPr>
          <w:rFonts w:ascii="Garamond" w:hAnsi="Garamond" w:cs="Times New Roman"/>
          <w:lang w:val="en-GB"/>
        </w:rPr>
        <w:t xml:space="preserve"> </w:t>
      </w:r>
      <w:r w:rsidRPr="00F94F4E">
        <w:rPr>
          <w:rFonts w:ascii="Garamond" w:eastAsia="Calibri" w:hAnsi="Garamond" w:cs="Times New Roman"/>
          <w:i/>
          <w:iCs/>
          <w:lang w:val="en-GB"/>
        </w:rPr>
        <w:t>Jugheli and Others v. Georgia</w:t>
      </w:r>
      <w:r w:rsidRPr="00F94F4E">
        <w:rPr>
          <w:rFonts w:ascii="Garamond" w:eastAsia="Calibri" w:hAnsi="Garamond" w:cs="Times New Roman"/>
          <w:lang w:val="en-GB"/>
        </w:rPr>
        <w:t>, app. no. 38342/05, 13 July 2017, §§71-71.</w:t>
      </w:r>
    </w:p>
  </w:footnote>
  <w:footnote w:id="94">
    <w:p w14:paraId="29C464C9" w14:textId="77777777" w:rsidR="008D4DEB" w:rsidRPr="00F94F4E" w:rsidRDefault="008D4DEB" w:rsidP="008D4DEB">
      <w:pPr>
        <w:pStyle w:val="Notedebasdepage"/>
        <w:jc w:val="both"/>
        <w:rPr>
          <w:rFonts w:ascii="Garamond" w:hAnsi="Garamond"/>
          <w:lang w:val="en-GB"/>
        </w:rPr>
      </w:pPr>
      <w:r w:rsidRPr="00F94F4E">
        <w:rPr>
          <w:rStyle w:val="Appelnotedebasdep"/>
          <w:rFonts w:ascii="Garamond" w:hAnsi="Garamond"/>
          <w:lang w:val="en-GB"/>
        </w:rPr>
        <w:footnoteRef/>
      </w:r>
      <w:r w:rsidRPr="00F94F4E">
        <w:rPr>
          <w:rFonts w:ascii="Garamond" w:hAnsi="Garamond"/>
          <w:lang w:val="en-GB"/>
        </w:rPr>
        <w:t xml:space="preserve"> </w:t>
      </w:r>
      <w:r w:rsidRPr="00F94F4E">
        <w:rPr>
          <w:rFonts w:ascii="Garamond" w:hAnsi="Garamond"/>
          <w:i/>
          <w:lang w:val="en-GB"/>
        </w:rPr>
        <w:t>Burden v. United Kingdom</w:t>
      </w:r>
      <w:r w:rsidRPr="00F94F4E">
        <w:rPr>
          <w:rFonts w:ascii="Garamond" w:hAnsi="Garamond"/>
          <w:lang w:val="en-GB"/>
        </w:rPr>
        <w:t>; Ta</w:t>
      </w:r>
      <w:r w:rsidRPr="00F94F4E">
        <w:rPr>
          <w:rFonts w:ascii="Garamond" w:hAnsi="Garamond"/>
          <w:i/>
          <w:lang w:val="en-GB"/>
        </w:rPr>
        <w:t xml:space="preserve"> Tanase v. Moldova</w:t>
      </w:r>
      <w:r w:rsidRPr="00F94F4E">
        <w:rPr>
          <w:rFonts w:ascii="Garamond" w:hAnsi="Garamond"/>
          <w:lang w:val="en-GB"/>
        </w:rPr>
        <w:t xml:space="preserve">; </w:t>
      </w:r>
      <w:r w:rsidRPr="00F94F4E">
        <w:rPr>
          <w:rFonts w:ascii="Garamond" w:hAnsi="Garamond"/>
          <w:i/>
          <w:lang w:val="en-GB"/>
        </w:rPr>
        <w:t>Sejdic and Finci v. Bosnia and Herzegovina</w:t>
      </w:r>
      <w:r w:rsidRPr="00F94F4E">
        <w:rPr>
          <w:rFonts w:ascii="Garamond" w:hAnsi="Garamond"/>
          <w:lang w:val="en-GB"/>
        </w:rPr>
        <w:t>.</w:t>
      </w:r>
    </w:p>
  </w:footnote>
  <w:footnote w:id="95">
    <w:p w14:paraId="6E5B3CD2"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lang w:val="en-GB"/>
        </w:rPr>
        <w:footnoteRef/>
      </w:r>
      <w:r w:rsidRPr="00F94F4E">
        <w:rPr>
          <w:rFonts w:ascii="Garamond" w:hAnsi="Garamond" w:cs="Times New Roman"/>
          <w:lang w:val="en-GB"/>
        </w:rPr>
        <w:t xml:space="preserve"> IPCC, AR6-WGII, </w:t>
      </w:r>
      <w:r w:rsidRPr="00F94F4E">
        <w:rPr>
          <w:rFonts w:ascii="Garamond" w:hAnsi="Garamond" w:cs="Times New Roman"/>
          <w:iCs/>
          <w:lang w:val="en-GB"/>
        </w:rPr>
        <w:t>Summary for Policymakers</w:t>
      </w:r>
      <w:r w:rsidRPr="00F94F4E">
        <w:rPr>
          <w:rFonts w:ascii="Garamond" w:hAnsi="Garamond" w:cs="Times New Roman"/>
          <w:lang w:val="en-GB"/>
        </w:rPr>
        <w:t>, p. 14.</w:t>
      </w:r>
    </w:p>
  </w:footnote>
  <w:footnote w:id="96">
    <w:p w14:paraId="3D394145"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lang w:val="en-GB"/>
        </w:rPr>
        <w:footnoteRef/>
      </w:r>
      <w:r w:rsidRPr="00F94F4E">
        <w:rPr>
          <w:rFonts w:ascii="Garamond" w:hAnsi="Garamond" w:cs="Times New Roman"/>
          <w:lang w:val="en-GB"/>
        </w:rPr>
        <w:t xml:space="preserve"> </w:t>
      </w:r>
      <w:r w:rsidRPr="00F94F4E">
        <w:rPr>
          <w:rFonts w:ascii="Garamond" w:hAnsi="Garamond" w:cs="Times New Roman"/>
          <w:i/>
          <w:iCs/>
          <w:lang w:val="en-GB"/>
        </w:rPr>
        <w:t>O’Keeffe v. Ireland</w:t>
      </w:r>
      <w:r w:rsidRPr="00F94F4E">
        <w:rPr>
          <w:rFonts w:ascii="Garamond" w:hAnsi="Garamond" w:cs="Times New Roman"/>
          <w:lang w:val="en-GB"/>
        </w:rPr>
        <w:t xml:space="preserve"> [GC], app. no. 35810/09, 28 January 2014, §149.</w:t>
      </w:r>
    </w:p>
  </w:footnote>
  <w:footnote w:id="97">
    <w:p w14:paraId="5889CD01" w14:textId="77777777" w:rsidR="008D4DEB" w:rsidRPr="00F94F4E" w:rsidRDefault="008D4DEB" w:rsidP="008D4DEB">
      <w:pPr>
        <w:autoSpaceDE w:val="0"/>
        <w:autoSpaceDN w:val="0"/>
        <w:adjustRightInd w:val="0"/>
        <w:jc w:val="both"/>
        <w:rPr>
          <w:rFonts w:ascii="Garamond" w:hAnsi="Garamond" w:cs="Times New Roman"/>
          <w:sz w:val="20"/>
          <w:szCs w:val="20"/>
          <w:lang w:val="en-GB"/>
        </w:rPr>
      </w:pPr>
      <w:r w:rsidRPr="00F94F4E">
        <w:rPr>
          <w:rStyle w:val="Appelnotedebasdep"/>
          <w:rFonts w:ascii="Garamond" w:hAnsi="Garamond"/>
          <w:sz w:val="20"/>
          <w:szCs w:val="20"/>
        </w:rPr>
        <w:footnoteRef/>
      </w:r>
      <w:r w:rsidRPr="00F94F4E">
        <w:rPr>
          <w:rFonts w:ascii="Garamond" w:hAnsi="Garamond"/>
          <w:sz w:val="20"/>
          <w:szCs w:val="20"/>
          <w:lang w:val="en-GB"/>
        </w:rPr>
        <w:t xml:space="preserve"> </w:t>
      </w:r>
      <w:r w:rsidRPr="00F94F4E">
        <w:rPr>
          <w:rFonts w:ascii="Garamond" w:hAnsi="Garamond" w:cs="Times New Roman"/>
          <w:sz w:val="20"/>
          <w:szCs w:val="20"/>
          <w:lang w:val="en-GB"/>
        </w:rPr>
        <w:t xml:space="preserve">See in this regard, the causation test applied by the Court in </w:t>
      </w:r>
      <w:r w:rsidRPr="00F94F4E">
        <w:rPr>
          <w:rFonts w:ascii="Garamond" w:hAnsi="Garamond" w:cs="Times New Roman"/>
          <w:i/>
          <w:iCs/>
          <w:sz w:val="20"/>
          <w:szCs w:val="20"/>
          <w:lang w:val="en-GB"/>
        </w:rPr>
        <w:t>Opuz v Turkey</w:t>
      </w:r>
      <w:r w:rsidRPr="00F94F4E">
        <w:rPr>
          <w:rFonts w:ascii="Garamond" w:hAnsi="Garamond" w:cs="Times New Roman"/>
          <w:iCs/>
          <w:sz w:val="20"/>
          <w:szCs w:val="20"/>
          <w:lang w:val="en-GB"/>
        </w:rPr>
        <w:t>,</w:t>
      </w:r>
      <w:r w:rsidRPr="00F94F4E">
        <w:rPr>
          <w:rFonts w:ascii="Garamond" w:hAnsi="Garamond" w:cs="Times New Roman"/>
          <w:i/>
          <w:iCs/>
          <w:sz w:val="20"/>
          <w:szCs w:val="20"/>
          <w:lang w:val="en-GB"/>
        </w:rPr>
        <w:t xml:space="preserve"> </w:t>
      </w:r>
      <w:r w:rsidRPr="00F94F4E">
        <w:rPr>
          <w:rFonts w:ascii="Garamond" w:hAnsi="Garamond" w:cs="Times New Roman"/>
          <w:sz w:val="20"/>
          <w:szCs w:val="20"/>
          <w:lang w:val="en-GB"/>
        </w:rPr>
        <w:t xml:space="preserve">app. no. 33401/02, 9 June 2009, §136 citing </w:t>
      </w:r>
      <w:r w:rsidRPr="00F94F4E">
        <w:rPr>
          <w:rFonts w:ascii="Garamond" w:hAnsi="Garamond" w:cs="Times New Roman"/>
          <w:i/>
          <w:iCs/>
          <w:sz w:val="20"/>
          <w:szCs w:val="20"/>
          <w:lang w:val="en-GB"/>
        </w:rPr>
        <w:t xml:space="preserve">E &amp; Ors v United Kingdom, </w:t>
      </w:r>
      <w:r w:rsidRPr="00F94F4E">
        <w:rPr>
          <w:rFonts w:ascii="Garamond" w:hAnsi="Garamond" w:cs="Times New Roman"/>
          <w:sz w:val="20"/>
          <w:szCs w:val="20"/>
          <w:lang w:val="en-GB"/>
        </w:rPr>
        <w:t xml:space="preserve">app. no. 33218/96, 26 November 2002, §99; </w:t>
      </w:r>
      <w:r w:rsidRPr="00F94F4E">
        <w:rPr>
          <w:rFonts w:ascii="Garamond" w:eastAsia="TimesNewRomanPS-ItalicMT" w:hAnsi="Garamond" w:cs="TimesNewRomanPS-ItalicMT"/>
          <w:i/>
          <w:iCs/>
          <w:sz w:val="20"/>
          <w:szCs w:val="20"/>
          <w:lang w:val="en-GB"/>
        </w:rPr>
        <w:t xml:space="preserve">O’Keeffe </w:t>
      </w:r>
      <w:r w:rsidRPr="00F94F4E">
        <w:rPr>
          <w:rFonts w:ascii="Garamond" w:hAnsi="Garamond" w:cs="Times New Roman"/>
          <w:i/>
          <w:iCs/>
          <w:sz w:val="20"/>
          <w:szCs w:val="20"/>
          <w:lang w:val="en-GB"/>
        </w:rPr>
        <w:t>v Ireland</w:t>
      </w:r>
      <w:r w:rsidRPr="00F94F4E">
        <w:rPr>
          <w:rFonts w:ascii="Garamond" w:hAnsi="Garamond" w:cs="Times New Roman"/>
          <w:iCs/>
          <w:sz w:val="20"/>
          <w:szCs w:val="20"/>
          <w:lang w:val="en-GB"/>
        </w:rPr>
        <w:t>, §</w:t>
      </w:r>
      <w:r w:rsidRPr="00F94F4E">
        <w:rPr>
          <w:rFonts w:ascii="Garamond" w:hAnsi="Garamond" w:cs="Times New Roman"/>
          <w:sz w:val="20"/>
          <w:szCs w:val="20"/>
          <w:lang w:val="en-GB"/>
        </w:rPr>
        <w:t>149.</w:t>
      </w:r>
    </w:p>
  </w:footnote>
  <w:footnote w:id="98">
    <w:p w14:paraId="398A9081" w14:textId="77777777" w:rsidR="008D4DEB" w:rsidRPr="00F94F4E" w:rsidRDefault="008D4DEB" w:rsidP="008D4DEB">
      <w:pPr>
        <w:pStyle w:val="Notedebasdepage"/>
        <w:jc w:val="both"/>
        <w:rPr>
          <w:rFonts w:ascii="Garamond" w:hAnsi="Garamond"/>
          <w:lang w:val="en-GB"/>
        </w:rPr>
      </w:pPr>
      <w:r w:rsidRPr="00F94F4E">
        <w:rPr>
          <w:rStyle w:val="Appelnotedebasdep"/>
          <w:rFonts w:ascii="Garamond" w:hAnsi="Garamond"/>
        </w:rPr>
        <w:footnoteRef/>
      </w:r>
      <w:r w:rsidRPr="00F94F4E">
        <w:rPr>
          <w:rFonts w:ascii="Garamond" w:hAnsi="Garamond"/>
          <w:lang w:val="en-GB"/>
        </w:rPr>
        <w:t xml:space="preserve"> By analogy, this test was applied in the context of mesothelioma in </w:t>
      </w:r>
      <w:r w:rsidRPr="00F94F4E">
        <w:rPr>
          <w:rFonts w:ascii="Garamond" w:hAnsi="Garamond" w:cs="Times New Roman"/>
          <w:i/>
          <w:iCs/>
          <w:lang w:val="en-GB"/>
        </w:rPr>
        <w:t xml:space="preserve">Fairchild v. Glenhaven Funeral Services Ltd </w:t>
      </w:r>
      <w:r w:rsidRPr="00F94F4E">
        <w:rPr>
          <w:rFonts w:ascii="Garamond" w:hAnsi="Garamond" w:cs="Times New Roman"/>
          <w:lang w:val="en-GB"/>
        </w:rPr>
        <w:t>[2002] UKHL 22 (per Lord Bingham, §33).</w:t>
      </w:r>
    </w:p>
  </w:footnote>
  <w:footnote w:id="99">
    <w:p w14:paraId="13D68958"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lang w:val="en-GB"/>
        </w:rPr>
        <w:footnoteRef/>
      </w:r>
      <w:r w:rsidRPr="00F94F4E">
        <w:rPr>
          <w:rFonts w:ascii="Garamond" w:hAnsi="Garamond" w:cs="Times New Roman"/>
          <w:lang w:val="en-GB"/>
        </w:rPr>
        <w:t xml:space="preserve"> </w:t>
      </w:r>
      <w:r w:rsidRPr="00F94F4E">
        <w:rPr>
          <w:rFonts w:ascii="Garamond" w:eastAsia="Times New Roman" w:hAnsi="Garamond" w:cs="Times New Roman"/>
          <w:lang w:val="en-GB"/>
        </w:rPr>
        <w:t xml:space="preserve">Supreme Court of The Netherlands, 12 December 2019, </w:t>
      </w:r>
      <w:r w:rsidRPr="00F94F4E">
        <w:rPr>
          <w:rFonts w:ascii="Garamond" w:eastAsia="Times New Roman" w:hAnsi="Garamond" w:cs="Times New Roman"/>
          <w:iCs/>
          <w:lang w:val="en-GB"/>
        </w:rPr>
        <w:t>Hoge Raad</w:t>
      </w:r>
      <w:r w:rsidRPr="00F94F4E">
        <w:rPr>
          <w:rFonts w:ascii="Garamond" w:eastAsia="Times New Roman" w:hAnsi="Garamond" w:cs="Times New Roman"/>
          <w:lang w:val="en-GB"/>
        </w:rPr>
        <w:t>, ECLI:NL:HR:2019:2006, 19/00135, §5.7.7.</w:t>
      </w:r>
    </w:p>
  </w:footnote>
  <w:footnote w:id="100">
    <w:p w14:paraId="285FBEB3"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lang w:val="en-GB"/>
        </w:rPr>
        <w:footnoteRef/>
      </w:r>
      <w:r w:rsidRPr="00F94F4E">
        <w:rPr>
          <w:rFonts w:ascii="Garamond" w:hAnsi="Garamond" w:cs="Times New Roman"/>
          <w:lang w:val="en-GB"/>
        </w:rPr>
        <w:t xml:space="preserve"> </w:t>
      </w:r>
      <w:r w:rsidRPr="00F94F4E">
        <w:rPr>
          <w:rFonts w:ascii="Garamond" w:eastAsia="Times New Roman" w:hAnsi="Garamond" w:cs="Times New Roman"/>
          <w:lang w:val="en-GB"/>
        </w:rPr>
        <w:t>Court of First Instance of Brussels, Civil Section, 2015/4585/A, 17 June 2021, p. 61.</w:t>
      </w:r>
    </w:p>
  </w:footnote>
  <w:footnote w:id="101">
    <w:p w14:paraId="7C23A8AC"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lang w:val="en-GB"/>
        </w:rPr>
        <w:footnoteRef/>
      </w:r>
      <w:r w:rsidRPr="00F94F4E">
        <w:rPr>
          <w:rFonts w:ascii="Garamond" w:hAnsi="Garamond" w:cs="Times New Roman"/>
          <w:lang w:val="en-GB"/>
        </w:rPr>
        <w:t xml:space="preserve"> </w:t>
      </w:r>
      <w:r w:rsidRPr="00F94F4E">
        <w:rPr>
          <w:rFonts w:ascii="Garamond" w:eastAsia="Times New Roman" w:hAnsi="Garamond" w:cs="Times New Roman"/>
          <w:lang w:val="en-GB"/>
        </w:rPr>
        <w:t>Federal Constitutional Court of Germany, Decision of 24 March 2021, No 1 BvR 2656/18, 1 BvR 96/20, 1 BvR 78/20, 1 BvR 288/20, p. 2.</w:t>
      </w:r>
    </w:p>
  </w:footnote>
  <w:footnote w:id="102">
    <w:p w14:paraId="7F0AD1E8"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lang w:val="en-GB"/>
        </w:rPr>
        <w:footnoteRef/>
      </w:r>
      <w:r w:rsidRPr="00F94F4E">
        <w:rPr>
          <w:rFonts w:ascii="Garamond" w:hAnsi="Garamond" w:cs="Times New Roman"/>
          <w:lang w:val="en-GB"/>
        </w:rPr>
        <w:t xml:space="preserve"> </w:t>
      </w:r>
      <w:r w:rsidRPr="00F94F4E">
        <w:rPr>
          <w:rFonts w:ascii="Garamond" w:hAnsi="Garamond" w:cs="Times New Roman"/>
          <w:i/>
          <w:iCs/>
          <w:lang w:val="en-GB"/>
        </w:rPr>
        <w:t>Bursa Barosu Başkanlı</w:t>
      </w:r>
      <w:r w:rsidRPr="00F94F4E">
        <w:rPr>
          <w:rFonts w:ascii="Garamond" w:eastAsia="Times-Italic" w:hAnsi="Garamond" w:cs="Times New Roman"/>
          <w:i/>
          <w:iCs/>
          <w:lang w:val="en-GB"/>
        </w:rPr>
        <w:t>ğ</w:t>
      </w:r>
      <w:r w:rsidRPr="00F94F4E">
        <w:rPr>
          <w:rFonts w:ascii="Garamond" w:hAnsi="Garamond" w:cs="Times New Roman"/>
          <w:i/>
          <w:iCs/>
          <w:lang w:val="en-GB"/>
        </w:rPr>
        <w:t>ı and Others v. Turkey</w:t>
      </w:r>
      <w:r w:rsidRPr="00F94F4E">
        <w:rPr>
          <w:rFonts w:ascii="Garamond" w:hAnsi="Garamond" w:cs="Times New Roman"/>
          <w:lang w:val="en-GB"/>
        </w:rPr>
        <w:t>, app. no. 25680/05, 19 June 2018, §128.</w:t>
      </w:r>
    </w:p>
  </w:footnote>
  <w:footnote w:id="103">
    <w:p w14:paraId="5D23A232"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lang w:val="en-GB"/>
        </w:rPr>
        <w:footnoteRef/>
      </w:r>
      <w:r w:rsidRPr="00F94F4E">
        <w:rPr>
          <w:rFonts w:ascii="Garamond" w:hAnsi="Garamond" w:cs="Times New Roman"/>
          <w:lang w:val="en-GB"/>
        </w:rPr>
        <w:t xml:space="preserve"> </w:t>
      </w:r>
      <w:r w:rsidRPr="00F94F4E">
        <w:rPr>
          <w:rFonts w:ascii="Garamond" w:hAnsi="Garamond" w:cs="Times New Roman"/>
          <w:i/>
          <w:iCs/>
          <w:lang w:val="en-GB"/>
        </w:rPr>
        <w:t>Tătar v. Romania</w:t>
      </w:r>
      <w:r w:rsidRPr="00F94F4E">
        <w:rPr>
          <w:rFonts w:ascii="Garamond" w:hAnsi="Garamond" w:cs="Times New Roman"/>
          <w:lang w:val="en-GB"/>
        </w:rPr>
        <w:t>, §24.</w:t>
      </w:r>
    </w:p>
  </w:footnote>
  <w:footnote w:id="104">
    <w:p w14:paraId="3B124E2D"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lang w:val="en-GB"/>
        </w:rPr>
        <w:footnoteRef/>
      </w:r>
      <w:r w:rsidRPr="00F94F4E">
        <w:rPr>
          <w:rFonts w:ascii="Garamond" w:hAnsi="Garamond" w:cs="Times New Roman"/>
          <w:lang w:val="en-GB"/>
        </w:rPr>
        <w:t xml:space="preserve"> </w:t>
      </w:r>
      <w:r w:rsidRPr="00F94F4E">
        <w:rPr>
          <w:rFonts w:ascii="Garamond" w:hAnsi="Garamond" w:cs="Times New Roman"/>
          <w:i/>
          <w:iCs/>
          <w:lang w:val="en-GB"/>
        </w:rPr>
        <w:t>Cordella and others v. Italy</w:t>
      </w:r>
      <w:r w:rsidRPr="00F94F4E">
        <w:rPr>
          <w:rFonts w:ascii="Garamond" w:hAnsi="Garamond" w:cs="Times New Roman"/>
          <w:lang w:val="en-GB"/>
        </w:rPr>
        <w:t>, app. nos. 54414/13 and 54264/15, 29 January 2019, §99-109.</w:t>
      </w:r>
    </w:p>
  </w:footnote>
  <w:footnote w:id="105">
    <w:p w14:paraId="484DF169" w14:textId="77777777" w:rsidR="008D4DEB" w:rsidRPr="00F94F4E" w:rsidRDefault="008D4DEB" w:rsidP="008D4DEB">
      <w:pPr>
        <w:autoSpaceDE w:val="0"/>
        <w:autoSpaceDN w:val="0"/>
        <w:adjustRightInd w:val="0"/>
        <w:jc w:val="both"/>
        <w:rPr>
          <w:rFonts w:ascii="Garamond" w:hAnsi="Garamond" w:cs="Times New Roman"/>
          <w:sz w:val="20"/>
          <w:szCs w:val="20"/>
          <w:lang w:val="en-GB"/>
        </w:rPr>
      </w:pPr>
      <w:r w:rsidRPr="00F94F4E">
        <w:rPr>
          <w:rStyle w:val="Appelnotedebasdep"/>
          <w:rFonts w:ascii="Garamond" w:hAnsi="Garamond"/>
          <w:sz w:val="20"/>
          <w:szCs w:val="20"/>
          <w:lang w:val="en-GB"/>
        </w:rPr>
        <w:footnoteRef/>
      </w:r>
      <w:r w:rsidRPr="00F94F4E">
        <w:rPr>
          <w:rFonts w:ascii="Garamond" w:hAnsi="Garamond"/>
          <w:sz w:val="20"/>
          <w:szCs w:val="20"/>
          <w:lang w:val="en-GB"/>
        </w:rPr>
        <w:t xml:space="preserve"> </w:t>
      </w:r>
      <w:r w:rsidRPr="00F94F4E">
        <w:rPr>
          <w:rFonts w:ascii="Garamond" w:hAnsi="Garamond" w:cs="Times New Roman"/>
          <w:i/>
          <w:sz w:val="20"/>
          <w:szCs w:val="20"/>
          <w:lang w:val="en-GB"/>
        </w:rPr>
        <w:t>Centre for Legal Resources on behalf of Valentin Câmpeanu v. Romania</w:t>
      </w:r>
      <w:r w:rsidRPr="00F94F4E">
        <w:rPr>
          <w:rFonts w:ascii="Garamond" w:hAnsi="Garamond" w:cs="Times New Roman"/>
          <w:sz w:val="20"/>
          <w:szCs w:val="20"/>
          <w:lang w:val="en-GB"/>
        </w:rPr>
        <w:t xml:space="preserve">, §105, citing </w:t>
      </w:r>
      <w:r w:rsidRPr="00F94F4E">
        <w:rPr>
          <w:rFonts w:ascii="Garamond" w:hAnsi="Garamond" w:cs="Times New Roman"/>
          <w:i/>
          <w:sz w:val="20"/>
          <w:szCs w:val="20"/>
          <w:lang w:val="en-GB"/>
        </w:rPr>
        <w:t>Konstantin Markin v. Russia</w:t>
      </w:r>
      <w:r w:rsidRPr="00F94F4E">
        <w:rPr>
          <w:rFonts w:ascii="Garamond" w:hAnsi="Garamond" w:cs="Times New Roman"/>
          <w:sz w:val="20"/>
          <w:szCs w:val="20"/>
          <w:lang w:val="en-GB"/>
        </w:rPr>
        <w:t xml:space="preserve"> [GC], app. no. 30078/06, 22 March 2012, §89, and the earlier case of </w:t>
      </w:r>
      <w:r w:rsidRPr="00F94F4E">
        <w:rPr>
          <w:rFonts w:ascii="Garamond" w:hAnsi="Garamond" w:cs="Times New Roman"/>
          <w:i/>
          <w:sz w:val="20"/>
          <w:szCs w:val="20"/>
          <w:lang w:val="en-GB"/>
        </w:rPr>
        <w:t xml:space="preserve">Ireland v. United Kingdom </w:t>
      </w:r>
      <w:r w:rsidRPr="00F94F4E">
        <w:rPr>
          <w:rFonts w:ascii="Garamond" w:hAnsi="Garamond" w:cs="Times New Roman"/>
          <w:sz w:val="20"/>
          <w:szCs w:val="20"/>
          <w:lang w:val="en-GB"/>
        </w:rPr>
        <w:t>18 January 1978, Series A no 25, §154.</w:t>
      </w:r>
    </w:p>
  </w:footnote>
  <w:footnote w:id="106">
    <w:p w14:paraId="7133138C" w14:textId="77777777" w:rsidR="008D4DEB" w:rsidRPr="00F94F4E" w:rsidRDefault="008D4DEB" w:rsidP="008D4DEB">
      <w:pPr>
        <w:pStyle w:val="Notedebasdepage"/>
        <w:jc w:val="both"/>
        <w:rPr>
          <w:rFonts w:ascii="Garamond" w:hAnsi="Garamond"/>
          <w:lang w:val="en-GB"/>
        </w:rPr>
      </w:pPr>
      <w:r w:rsidRPr="00F94F4E">
        <w:rPr>
          <w:rStyle w:val="Appelnotedebasdep"/>
          <w:rFonts w:ascii="Garamond" w:hAnsi="Garamond"/>
        </w:rPr>
        <w:footnoteRef/>
      </w:r>
      <w:r w:rsidRPr="00F94F4E">
        <w:rPr>
          <w:rFonts w:ascii="Garamond" w:hAnsi="Garamond"/>
          <w:lang w:val="en-GB"/>
        </w:rPr>
        <w:t xml:space="preserve"> </w:t>
      </w:r>
      <w:r w:rsidRPr="00F94F4E">
        <w:rPr>
          <w:rFonts w:ascii="Garamond" w:hAnsi="Garamond" w:cs="Times New Roman"/>
          <w:i/>
          <w:lang w:val="en-GB"/>
        </w:rPr>
        <w:t>Siliadin v. France</w:t>
      </w:r>
      <w:r w:rsidRPr="00F94F4E">
        <w:rPr>
          <w:rFonts w:ascii="Garamond" w:hAnsi="Garamond" w:cs="Times New Roman"/>
          <w:lang w:val="en-GB"/>
        </w:rPr>
        <w:t>,</w:t>
      </w:r>
      <w:r w:rsidRPr="00F94F4E">
        <w:rPr>
          <w:rFonts w:ascii="Garamond" w:hAnsi="Garamond" w:cs="Times New Roman"/>
          <w:i/>
          <w:lang w:val="en-GB"/>
        </w:rPr>
        <w:t xml:space="preserve"> </w:t>
      </w:r>
      <w:r w:rsidRPr="00F94F4E">
        <w:rPr>
          <w:rFonts w:ascii="Garamond" w:hAnsi="Garamond" w:cs="Times New Roman"/>
          <w:lang w:val="en-GB"/>
        </w:rPr>
        <w:t xml:space="preserve">app. no. 73316/01, 26 July 2005, §63; </w:t>
      </w:r>
      <w:r w:rsidRPr="00F94F4E">
        <w:rPr>
          <w:rFonts w:ascii="Garamond" w:hAnsi="Garamond" w:cs="Times New Roman"/>
          <w:i/>
          <w:lang w:val="en-GB"/>
        </w:rPr>
        <w:t>Hirsi Jamaa and Others v. Italy</w:t>
      </w:r>
      <w:r w:rsidRPr="00F94F4E">
        <w:rPr>
          <w:rFonts w:ascii="Garamond" w:hAnsi="Garamond" w:cs="Times New Roman"/>
          <w:lang w:val="en-GB"/>
        </w:rPr>
        <w:t xml:space="preserve"> [GC], app. no. 27765/09, 23 February 2012, §111.</w:t>
      </w:r>
    </w:p>
  </w:footnote>
  <w:footnote w:id="107">
    <w:p w14:paraId="4F81C9DC"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lang w:val="en-GB"/>
        </w:rPr>
        <w:footnoteRef/>
      </w:r>
      <w:r w:rsidRPr="00F94F4E">
        <w:rPr>
          <w:rFonts w:ascii="Garamond" w:hAnsi="Garamond"/>
          <w:lang w:val="en-GB"/>
        </w:rPr>
        <w:t xml:space="preserve"> </w:t>
      </w:r>
      <w:r w:rsidRPr="00F94F4E">
        <w:rPr>
          <w:rFonts w:ascii="Garamond" w:hAnsi="Garamond" w:cs="Times New Roman"/>
          <w:i/>
          <w:lang w:val="en-GB"/>
        </w:rPr>
        <w:t>Wemhoff v. Germany</w:t>
      </w:r>
      <w:r w:rsidRPr="00F94F4E">
        <w:rPr>
          <w:rFonts w:ascii="Garamond" w:hAnsi="Garamond" w:cs="Times New Roman"/>
          <w:lang w:val="en-GB"/>
        </w:rPr>
        <w:t xml:space="preserve">, app. no. 2122/64, 27 June 1968, §8; </w:t>
      </w:r>
      <w:r w:rsidRPr="00F94F4E">
        <w:rPr>
          <w:rFonts w:ascii="Garamond" w:hAnsi="Garamond" w:cs="Times New Roman"/>
          <w:i/>
          <w:lang w:val="en-GB"/>
        </w:rPr>
        <w:t>Saadi v. United Kingdom</w:t>
      </w:r>
      <w:r w:rsidRPr="00F94F4E">
        <w:rPr>
          <w:rFonts w:ascii="Garamond" w:hAnsi="Garamond" w:cs="Times New Roman"/>
          <w:lang w:val="en-GB"/>
        </w:rPr>
        <w:t>, app. no. 13229/03, 29 January 2008, §26; Art. 31(1) of the Vienna Convention.</w:t>
      </w:r>
    </w:p>
  </w:footnote>
  <w:footnote w:id="108">
    <w:p w14:paraId="4129DB42" w14:textId="77777777" w:rsidR="008D4DEB" w:rsidRPr="00F94F4E" w:rsidRDefault="008D4DEB" w:rsidP="008D4DEB">
      <w:pPr>
        <w:autoSpaceDE w:val="0"/>
        <w:adjustRightInd w:val="0"/>
        <w:jc w:val="both"/>
        <w:rPr>
          <w:rFonts w:ascii="Garamond" w:hAnsi="Garamond"/>
          <w:sz w:val="20"/>
          <w:szCs w:val="20"/>
          <w:lang w:val="en-GB"/>
        </w:rPr>
      </w:pPr>
      <w:r w:rsidRPr="00F94F4E">
        <w:rPr>
          <w:rStyle w:val="Appelnotedebasdep"/>
          <w:rFonts w:ascii="Garamond" w:hAnsi="Garamond"/>
          <w:sz w:val="20"/>
          <w:szCs w:val="20"/>
          <w:lang w:val="en-GB"/>
        </w:rPr>
        <w:footnoteRef/>
      </w:r>
      <w:r w:rsidRPr="00F94F4E">
        <w:rPr>
          <w:rFonts w:ascii="Garamond" w:hAnsi="Garamond"/>
          <w:sz w:val="20"/>
          <w:szCs w:val="20"/>
          <w:lang w:val="en-GB"/>
        </w:rPr>
        <w:t xml:space="preserve"> </w:t>
      </w:r>
      <w:r w:rsidRPr="00F94F4E">
        <w:rPr>
          <w:rFonts w:ascii="Garamond" w:hAnsi="Garamond"/>
          <w:i/>
          <w:iCs/>
          <w:sz w:val="20"/>
          <w:szCs w:val="20"/>
          <w:lang w:val="en-GB"/>
        </w:rPr>
        <w:t>Moreno Gómez v. Spain</w:t>
      </w:r>
      <w:r w:rsidRPr="00F94F4E">
        <w:rPr>
          <w:rFonts w:ascii="Garamond" w:hAnsi="Garamond"/>
          <w:iCs/>
          <w:sz w:val="20"/>
          <w:szCs w:val="20"/>
          <w:lang w:val="en-GB"/>
        </w:rPr>
        <w:t>, a</w:t>
      </w:r>
      <w:r w:rsidRPr="00F94F4E">
        <w:rPr>
          <w:rFonts w:ascii="Garamond" w:hAnsi="Garamond"/>
          <w:sz w:val="20"/>
          <w:szCs w:val="20"/>
          <w:lang w:val="en-GB"/>
        </w:rPr>
        <w:t xml:space="preserve">pp. no. 4143/02, 16 November 2004, §56; </w:t>
      </w:r>
      <w:r w:rsidRPr="00F94F4E">
        <w:rPr>
          <w:rFonts w:ascii="Garamond" w:hAnsi="Garamond"/>
          <w:i/>
          <w:iCs/>
          <w:sz w:val="20"/>
          <w:szCs w:val="20"/>
          <w:lang w:val="en-GB"/>
        </w:rPr>
        <w:t>Dubetska and Others v. Ukraine</w:t>
      </w:r>
      <w:r w:rsidRPr="00F94F4E">
        <w:rPr>
          <w:rFonts w:ascii="Garamond" w:hAnsi="Garamond"/>
          <w:iCs/>
          <w:sz w:val="20"/>
          <w:szCs w:val="20"/>
          <w:lang w:val="en-GB"/>
        </w:rPr>
        <w:t>, a</w:t>
      </w:r>
      <w:r w:rsidRPr="00F94F4E">
        <w:rPr>
          <w:rFonts w:ascii="Garamond" w:hAnsi="Garamond"/>
          <w:sz w:val="20"/>
          <w:szCs w:val="20"/>
          <w:lang w:val="en-GB"/>
        </w:rPr>
        <w:t>pp. no. 30499/03, 10 February 2011, §144.</w:t>
      </w:r>
    </w:p>
  </w:footnote>
  <w:footnote w:id="109">
    <w:p w14:paraId="7DCD40C0" w14:textId="77777777" w:rsidR="008D4DEB" w:rsidRPr="00F94F4E" w:rsidRDefault="008D4DEB" w:rsidP="008D4DEB">
      <w:pPr>
        <w:pStyle w:val="Notedebasdepage"/>
        <w:jc w:val="both"/>
        <w:rPr>
          <w:rFonts w:ascii="Garamond" w:hAnsi="Garamond"/>
          <w:lang w:val="en-GB"/>
        </w:rPr>
      </w:pPr>
      <w:r w:rsidRPr="00F94F4E">
        <w:rPr>
          <w:rStyle w:val="Appelnotedebasdep"/>
          <w:rFonts w:ascii="Garamond" w:hAnsi="Garamond"/>
          <w:lang w:val="en-GB"/>
        </w:rPr>
        <w:footnoteRef/>
      </w:r>
      <w:r w:rsidRPr="00F94F4E">
        <w:rPr>
          <w:rFonts w:ascii="Garamond" w:hAnsi="Garamond"/>
          <w:lang w:val="en-GB"/>
        </w:rPr>
        <w:t xml:space="preserve"> </w:t>
      </w:r>
      <w:r w:rsidRPr="00F94F4E">
        <w:rPr>
          <w:rFonts w:ascii="Garamond" w:hAnsi="Garamond"/>
          <w:i/>
          <w:lang w:val="en-GB"/>
        </w:rPr>
        <w:t>Demir and Baykara v. Turkey</w:t>
      </w:r>
      <w:r w:rsidRPr="00F94F4E">
        <w:rPr>
          <w:rFonts w:ascii="Garamond" w:hAnsi="Garamond"/>
          <w:lang w:val="en-GB"/>
        </w:rPr>
        <w:t xml:space="preserve">, app. no. 34503/97, 12 November 2008, §154. See also </w:t>
      </w:r>
      <w:r w:rsidRPr="00F94F4E">
        <w:rPr>
          <w:rFonts w:ascii="Garamond" w:hAnsi="Garamond"/>
          <w:i/>
          <w:lang w:val="en-GB"/>
        </w:rPr>
        <w:t>Al-Adsani v. United Kingdom</w:t>
      </w:r>
      <w:r w:rsidRPr="00F94F4E">
        <w:rPr>
          <w:rFonts w:ascii="Garamond" w:hAnsi="Garamond"/>
          <w:lang w:val="en-GB"/>
        </w:rPr>
        <w:t xml:space="preserve">, app. no. 35763/97, 21 November 2001; </w:t>
      </w:r>
      <w:r w:rsidRPr="00F94F4E">
        <w:rPr>
          <w:rFonts w:ascii="Garamond" w:hAnsi="Garamond"/>
          <w:i/>
          <w:lang w:val="en-GB"/>
        </w:rPr>
        <w:t>Siliadin v. France</w:t>
      </w:r>
      <w:r w:rsidRPr="00F94F4E">
        <w:rPr>
          <w:rFonts w:ascii="Garamond" w:hAnsi="Garamond"/>
          <w:lang w:val="en-GB"/>
        </w:rPr>
        <w:t xml:space="preserve">, app. no. 73316/01, 26 October 2005; </w:t>
      </w:r>
      <w:r w:rsidRPr="00F94F4E">
        <w:rPr>
          <w:rFonts w:ascii="Garamond" w:hAnsi="Garamond"/>
          <w:i/>
          <w:lang w:val="en-GB"/>
        </w:rPr>
        <w:t>Vilho Eskelinen and Others v. Finland</w:t>
      </w:r>
      <w:r w:rsidRPr="00F94F4E">
        <w:rPr>
          <w:rFonts w:ascii="Garamond" w:hAnsi="Garamond"/>
          <w:lang w:val="en-GB"/>
        </w:rPr>
        <w:t>, app. no. 63235/00, 19 April 2007.</w:t>
      </w:r>
    </w:p>
  </w:footnote>
  <w:footnote w:id="110">
    <w:p w14:paraId="4639F46B"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lang w:val="en-GB"/>
        </w:rPr>
        <w:footnoteRef/>
      </w:r>
      <w:r w:rsidRPr="00F94F4E">
        <w:rPr>
          <w:rFonts w:ascii="Garamond" w:hAnsi="Garamond" w:cs="Times New Roman"/>
          <w:lang w:val="en-GB"/>
        </w:rPr>
        <w:t xml:space="preserve"> </w:t>
      </w:r>
      <w:r w:rsidRPr="00F94F4E">
        <w:rPr>
          <w:rFonts w:ascii="Garamond" w:hAnsi="Garamond" w:cs="Times New Roman"/>
          <w:i/>
          <w:iCs/>
          <w:lang w:val="en-GB"/>
        </w:rPr>
        <w:t>Al-Saadoon and Mufdhi v. United Kingdom</w:t>
      </w:r>
      <w:r w:rsidRPr="00F94F4E">
        <w:rPr>
          <w:rFonts w:ascii="Garamond" w:hAnsi="Garamond" w:cs="Times New Roman"/>
          <w:iCs/>
          <w:lang w:val="en-GB"/>
        </w:rPr>
        <w:t xml:space="preserve">, </w:t>
      </w:r>
      <w:r w:rsidRPr="00F94F4E">
        <w:rPr>
          <w:rFonts w:ascii="Garamond" w:hAnsi="Garamond" w:cs="Times New Roman"/>
          <w:lang w:val="en-GB"/>
        </w:rPr>
        <w:t xml:space="preserve">app. no. 61498/08: </w:t>
      </w:r>
      <w:r w:rsidRPr="00F94F4E">
        <w:rPr>
          <w:rFonts w:ascii="Garamond" w:hAnsi="Garamond" w:cs="Times New Roman"/>
          <w:iCs/>
          <w:lang w:val="en-GB"/>
        </w:rPr>
        <w:t>“</w:t>
      </w:r>
      <w:r w:rsidRPr="00F94F4E">
        <w:rPr>
          <w:rFonts w:ascii="Garamond" w:hAnsi="Garamond" w:cs="Times New Roman"/>
          <w:i/>
          <w:iCs/>
          <w:lang w:val="en-GB"/>
        </w:rPr>
        <w:t xml:space="preserve">The State is considered to retain liability in respect of treaty commitments </w:t>
      </w:r>
      <w:r w:rsidRPr="00F94F4E">
        <w:rPr>
          <w:rFonts w:ascii="Garamond" w:hAnsi="Garamond" w:cs="Times New Roman"/>
          <w:i/>
          <w:iCs/>
          <w:u w:val="single"/>
          <w:lang w:val="en-GB"/>
        </w:rPr>
        <w:t>subsequent</w:t>
      </w:r>
      <w:r w:rsidRPr="00F94F4E">
        <w:rPr>
          <w:rFonts w:ascii="Garamond" w:hAnsi="Garamond" w:cs="Times New Roman"/>
          <w:i/>
          <w:iCs/>
          <w:lang w:val="en-GB"/>
        </w:rPr>
        <w:t xml:space="preserve"> to the entry into force of the Convention</w:t>
      </w:r>
      <w:r w:rsidRPr="00F94F4E">
        <w:rPr>
          <w:rFonts w:ascii="Garamond" w:hAnsi="Garamond" w:cs="Times New Roman"/>
          <w:iCs/>
          <w:lang w:val="en-GB"/>
        </w:rPr>
        <w:t>”</w:t>
      </w:r>
      <w:r w:rsidRPr="00F94F4E">
        <w:rPr>
          <w:rFonts w:ascii="Garamond" w:hAnsi="Garamond" w:cs="Times New Roman"/>
          <w:lang w:val="en-GB"/>
        </w:rPr>
        <w:t>.</w:t>
      </w:r>
    </w:p>
  </w:footnote>
  <w:footnote w:id="111">
    <w:p w14:paraId="386291A7" w14:textId="77777777" w:rsidR="008D4DEB" w:rsidRPr="00F94F4E" w:rsidRDefault="008D4DEB" w:rsidP="008D4DEB">
      <w:pPr>
        <w:autoSpaceDE w:val="0"/>
        <w:autoSpaceDN w:val="0"/>
        <w:adjustRightInd w:val="0"/>
        <w:jc w:val="both"/>
        <w:rPr>
          <w:rFonts w:ascii="Garamond" w:hAnsi="Garamond" w:cs="Times New Roman"/>
          <w:i/>
          <w:iCs/>
          <w:sz w:val="20"/>
          <w:szCs w:val="20"/>
          <w:lang w:val="en-GB"/>
        </w:rPr>
      </w:pPr>
      <w:r w:rsidRPr="00F94F4E">
        <w:rPr>
          <w:rStyle w:val="Appelnotedebasdep"/>
          <w:rFonts w:ascii="Garamond" w:hAnsi="Garamond"/>
          <w:sz w:val="20"/>
          <w:szCs w:val="20"/>
        </w:rPr>
        <w:footnoteRef/>
      </w:r>
      <w:r w:rsidRPr="00F94F4E">
        <w:rPr>
          <w:rFonts w:ascii="Garamond" w:hAnsi="Garamond"/>
          <w:sz w:val="20"/>
          <w:szCs w:val="20"/>
          <w:lang w:val="en-GB"/>
        </w:rPr>
        <w:t xml:space="preserve"> </w:t>
      </w:r>
      <w:r w:rsidRPr="00F94F4E">
        <w:rPr>
          <w:rFonts w:ascii="Garamond" w:hAnsi="Garamond" w:cs="Times New Roman"/>
          <w:i/>
          <w:iCs/>
          <w:sz w:val="20"/>
          <w:szCs w:val="20"/>
          <w:lang w:val="en-GB"/>
        </w:rPr>
        <w:t>Centre for Legal Resources on Behalf of Valentin Câmpeanu v Romania</w:t>
      </w:r>
      <w:r w:rsidRPr="00F94F4E">
        <w:rPr>
          <w:rFonts w:ascii="Garamond" w:hAnsi="Garamond" w:cs="Times New Roman"/>
          <w:iCs/>
          <w:sz w:val="20"/>
          <w:szCs w:val="20"/>
          <w:lang w:val="en-GB"/>
        </w:rPr>
        <w:t>, §</w:t>
      </w:r>
      <w:r w:rsidRPr="00F94F4E">
        <w:rPr>
          <w:rFonts w:ascii="Garamond" w:hAnsi="Garamond" w:cs="Times New Roman"/>
          <w:sz w:val="20"/>
          <w:szCs w:val="20"/>
          <w:lang w:val="en-GB"/>
        </w:rPr>
        <w:t xml:space="preserve">130. See also: </w:t>
      </w:r>
      <w:r w:rsidRPr="00F94F4E">
        <w:rPr>
          <w:rFonts w:ascii="Garamond" w:hAnsi="Garamond" w:cs="Times New Roman"/>
          <w:i/>
          <w:iCs/>
          <w:sz w:val="20"/>
          <w:szCs w:val="20"/>
          <w:lang w:val="en-GB"/>
        </w:rPr>
        <w:t xml:space="preserve">Öneryildiz v Turkey </w:t>
      </w:r>
      <w:r w:rsidRPr="00F94F4E">
        <w:rPr>
          <w:rFonts w:ascii="Garamond" w:hAnsi="Garamond" w:cs="Times New Roman"/>
          <w:iCs/>
          <w:sz w:val="20"/>
          <w:szCs w:val="20"/>
          <w:lang w:val="en-GB"/>
        </w:rPr>
        <w:t>[</w:t>
      </w:r>
      <w:r w:rsidRPr="00F94F4E">
        <w:rPr>
          <w:rFonts w:ascii="Garamond" w:hAnsi="Garamond" w:cs="Times New Roman"/>
          <w:sz w:val="20"/>
          <w:szCs w:val="20"/>
          <w:lang w:val="en-GB"/>
        </w:rPr>
        <w:t>GC]</w:t>
      </w:r>
      <w:r w:rsidRPr="00F94F4E">
        <w:rPr>
          <w:rFonts w:ascii="Garamond" w:hAnsi="Garamond" w:cs="Times New Roman"/>
          <w:iCs/>
          <w:sz w:val="20"/>
          <w:szCs w:val="20"/>
          <w:lang w:val="en-GB"/>
        </w:rPr>
        <w:t>, a</w:t>
      </w:r>
      <w:r w:rsidRPr="00F94F4E">
        <w:rPr>
          <w:rFonts w:ascii="Garamond" w:hAnsi="Garamond" w:cs="Times New Roman"/>
          <w:sz w:val="20"/>
          <w:szCs w:val="20"/>
          <w:lang w:val="en-GB"/>
        </w:rPr>
        <w:t xml:space="preserve">pp. no. 48939/99, 30 November 2004), §71 referring to </w:t>
      </w:r>
      <w:r w:rsidRPr="00F94F4E">
        <w:rPr>
          <w:rFonts w:ascii="Garamond" w:hAnsi="Garamond" w:cs="Times New Roman"/>
          <w:i/>
          <w:iCs/>
          <w:sz w:val="20"/>
          <w:szCs w:val="20"/>
          <w:lang w:val="en-GB"/>
        </w:rPr>
        <w:t xml:space="preserve">Ercan Bozkurt v Turkey </w:t>
      </w:r>
      <w:r w:rsidRPr="00F94F4E">
        <w:rPr>
          <w:rFonts w:ascii="Garamond" w:hAnsi="Garamond" w:cs="Times New Roman"/>
          <w:sz w:val="20"/>
          <w:szCs w:val="20"/>
          <w:lang w:val="en-GB"/>
        </w:rPr>
        <w:t>app. no. 20620/10 (23 June 2015), para. 54.</w:t>
      </w:r>
    </w:p>
  </w:footnote>
  <w:footnote w:id="112">
    <w:p w14:paraId="387A72E9" w14:textId="77777777" w:rsidR="008D4DEB" w:rsidRPr="00F94F4E" w:rsidRDefault="008D4DEB" w:rsidP="008D4DEB">
      <w:pPr>
        <w:autoSpaceDE w:val="0"/>
        <w:autoSpaceDN w:val="0"/>
        <w:adjustRightInd w:val="0"/>
        <w:jc w:val="both"/>
        <w:rPr>
          <w:rFonts w:ascii="Garamond" w:hAnsi="Garamond" w:cs="Times New Roman"/>
          <w:i/>
          <w:sz w:val="20"/>
          <w:szCs w:val="20"/>
          <w:lang w:val="en-GB"/>
        </w:rPr>
      </w:pPr>
      <w:r w:rsidRPr="00F94F4E">
        <w:rPr>
          <w:rStyle w:val="Appelnotedebasdep"/>
          <w:rFonts w:ascii="Garamond" w:hAnsi="Garamond"/>
          <w:sz w:val="20"/>
          <w:szCs w:val="20"/>
        </w:rPr>
        <w:footnoteRef/>
      </w:r>
      <w:r w:rsidRPr="00F94F4E">
        <w:rPr>
          <w:rFonts w:ascii="Garamond" w:hAnsi="Garamond"/>
          <w:sz w:val="20"/>
          <w:szCs w:val="20"/>
          <w:lang w:val="en-GB"/>
        </w:rPr>
        <w:t xml:space="preserve"> </w:t>
      </w:r>
      <w:r w:rsidRPr="00F94F4E">
        <w:rPr>
          <w:rFonts w:ascii="Garamond" w:hAnsi="Garamond" w:cs="Times New Roman"/>
          <w:i/>
          <w:iCs/>
          <w:sz w:val="20"/>
          <w:szCs w:val="20"/>
          <w:lang w:val="en-GB"/>
        </w:rPr>
        <w:t>Kolyadenko and Others v Russia</w:t>
      </w:r>
      <w:r w:rsidRPr="00F94F4E">
        <w:rPr>
          <w:rFonts w:ascii="Garamond" w:hAnsi="Garamond" w:cs="Times New Roman"/>
          <w:iCs/>
          <w:sz w:val="20"/>
          <w:szCs w:val="20"/>
          <w:lang w:val="en-GB"/>
        </w:rPr>
        <w:t xml:space="preserve">, </w:t>
      </w:r>
      <w:r w:rsidRPr="00F94F4E">
        <w:rPr>
          <w:rFonts w:ascii="Garamond" w:hAnsi="Garamond" w:cs="Times New Roman"/>
          <w:sz w:val="20"/>
          <w:szCs w:val="20"/>
          <w:lang w:val="en-GB"/>
        </w:rPr>
        <w:t xml:space="preserve">app. nos. 17423/05 and others, 28 February 2012, §§151, 174-180. See also: </w:t>
      </w:r>
      <w:r w:rsidRPr="00F94F4E">
        <w:rPr>
          <w:rFonts w:ascii="Garamond" w:hAnsi="Garamond" w:cs="Times New Roman"/>
          <w:i/>
          <w:iCs/>
          <w:sz w:val="20"/>
          <w:szCs w:val="20"/>
          <w:lang w:val="en-GB"/>
        </w:rPr>
        <w:t>Öneryildiz v Turkey</w:t>
      </w:r>
      <w:r w:rsidRPr="00F94F4E">
        <w:rPr>
          <w:rFonts w:ascii="Garamond" w:hAnsi="Garamond" w:cs="Times New Roman"/>
          <w:sz w:val="20"/>
          <w:szCs w:val="20"/>
          <w:lang w:val="en-GB"/>
        </w:rPr>
        <w:t>, §§98</w:t>
      </w:r>
      <w:r w:rsidRPr="00F94F4E">
        <w:rPr>
          <w:rFonts w:ascii="Garamond" w:eastAsia="TimesNewRomanPSMT" w:hAnsi="Garamond" w:cs="TimesNewRomanPSMT"/>
          <w:sz w:val="20"/>
          <w:szCs w:val="20"/>
          <w:lang w:val="en-GB"/>
        </w:rPr>
        <w:t>-</w:t>
      </w:r>
      <w:r w:rsidRPr="00F94F4E">
        <w:rPr>
          <w:rFonts w:ascii="Garamond" w:hAnsi="Garamond" w:cs="Times New Roman"/>
          <w:sz w:val="20"/>
          <w:szCs w:val="20"/>
          <w:lang w:val="en-GB"/>
        </w:rPr>
        <w:t xml:space="preserve">101; </w:t>
      </w:r>
      <w:r w:rsidRPr="00F94F4E">
        <w:rPr>
          <w:rFonts w:ascii="Garamond" w:hAnsi="Garamond" w:cs="Times New Roman"/>
          <w:i/>
          <w:iCs/>
          <w:sz w:val="20"/>
          <w:szCs w:val="20"/>
          <w:lang w:val="en-GB"/>
        </w:rPr>
        <w:t>Budayeva and Others v Russia</w:t>
      </w:r>
      <w:r w:rsidRPr="00F94F4E">
        <w:rPr>
          <w:rFonts w:ascii="Garamond" w:hAnsi="Garamond" w:cs="Times New Roman"/>
          <w:iCs/>
          <w:sz w:val="20"/>
          <w:szCs w:val="20"/>
          <w:lang w:val="en-GB"/>
        </w:rPr>
        <w:t>, a</w:t>
      </w:r>
      <w:r w:rsidRPr="00F94F4E">
        <w:rPr>
          <w:rFonts w:ascii="Garamond" w:hAnsi="Garamond" w:cs="Times New Roman"/>
          <w:sz w:val="20"/>
          <w:szCs w:val="20"/>
          <w:lang w:val="en-GB"/>
        </w:rPr>
        <w:t>pp. nos. 15339/02 and others, 20 March 2008, §§147</w:t>
      </w:r>
      <w:r w:rsidRPr="00F94F4E">
        <w:rPr>
          <w:rFonts w:ascii="Garamond" w:eastAsia="TimesNewRomanPSMT" w:hAnsi="Garamond" w:cs="TimesNewRomanPSMT"/>
          <w:sz w:val="20"/>
          <w:szCs w:val="20"/>
          <w:lang w:val="en-GB"/>
        </w:rPr>
        <w:t>-</w:t>
      </w:r>
      <w:r w:rsidRPr="00F94F4E">
        <w:rPr>
          <w:rFonts w:ascii="Garamond" w:hAnsi="Garamond" w:cs="Times New Roman"/>
          <w:sz w:val="20"/>
          <w:szCs w:val="20"/>
          <w:lang w:val="en-GB"/>
        </w:rPr>
        <w:t>158.</w:t>
      </w:r>
    </w:p>
  </w:footnote>
  <w:footnote w:id="113">
    <w:p w14:paraId="4C9713CF"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lang w:val="en-GB"/>
        </w:rPr>
        <w:footnoteRef/>
      </w:r>
      <w:r w:rsidRPr="00F94F4E">
        <w:rPr>
          <w:rFonts w:ascii="Garamond" w:hAnsi="Garamond" w:cs="Times New Roman"/>
          <w:lang w:val="en-GB"/>
        </w:rPr>
        <w:t xml:space="preserve"> </w:t>
      </w:r>
      <w:r w:rsidRPr="00F94F4E">
        <w:rPr>
          <w:rFonts w:ascii="Garamond" w:hAnsi="Garamond" w:cs="Times New Roman"/>
          <w:i/>
          <w:iCs/>
          <w:lang w:val="en-GB"/>
        </w:rPr>
        <w:t>Tătar v. Romania</w:t>
      </w:r>
      <w:r w:rsidRPr="00F94F4E">
        <w:rPr>
          <w:rFonts w:ascii="Garamond" w:hAnsi="Garamond" w:cs="Times New Roman"/>
          <w:lang w:val="en-GB"/>
        </w:rPr>
        <w:t xml:space="preserve">, §§106-107 and </w:t>
      </w:r>
      <w:r w:rsidRPr="00F94F4E">
        <w:rPr>
          <w:rFonts w:ascii="Garamond" w:hAnsi="Garamond" w:cs="Times New Roman"/>
          <w:i/>
          <w:iCs/>
          <w:lang w:val="en-GB"/>
        </w:rPr>
        <w:t>Cordella and others v Italy</w:t>
      </w:r>
      <w:r w:rsidRPr="00F94F4E">
        <w:rPr>
          <w:rFonts w:ascii="Garamond" w:hAnsi="Garamond" w:cs="Times New Roman"/>
          <w:lang w:val="en-GB"/>
        </w:rPr>
        <w:t>, §157.</w:t>
      </w:r>
    </w:p>
  </w:footnote>
  <w:footnote w:id="114">
    <w:p w14:paraId="5ADFCAC2"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lang w:val="en-GB"/>
        </w:rPr>
        <w:footnoteRef/>
      </w:r>
      <w:r w:rsidRPr="00F94F4E">
        <w:rPr>
          <w:rFonts w:ascii="Garamond" w:hAnsi="Garamond" w:cs="Times New Roman"/>
          <w:lang w:val="en-GB"/>
        </w:rPr>
        <w:t xml:space="preserve"> </w:t>
      </w:r>
      <w:r w:rsidRPr="00F94F4E">
        <w:rPr>
          <w:rFonts w:ascii="Garamond" w:hAnsi="Garamond" w:cs="Times New Roman"/>
          <w:i/>
          <w:iCs/>
          <w:lang w:val="en-GB"/>
        </w:rPr>
        <w:t>O</w:t>
      </w:r>
      <w:r w:rsidRPr="00F94F4E">
        <w:rPr>
          <w:rFonts w:cs="Times New Roman"/>
          <w:i/>
          <w:iCs/>
          <w:lang w:val="en-GB"/>
        </w:rPr>
        <w:t>̈</w:t>
      </w:r>
      <w:r w:rsidRPr="00F94F4E">
        <w:rPr>
          <w:rFonts w:ascii="Garamond" w:hAnsi="Garamond" w:cs="Times New Roman"/>
          <w:i/>
          <w:iCs/>
          <w:lang w:val="en-GB"/>
        </w:rPr>
        <w:t>nery</w:t>
      </w:r>
      <w:r w:rsidRPr="00F94F4E">
        <w:rPr>
          <w:rFonts w:ascii="Garamond" w:hAnsi="Garamond" w:cs="Garamond"/>
          <w:i/>
          <w:iCs/>
          <w:lang w:val="en-GB"/>
        </w:rPr>
        <w:t>ı</w:t>
      </w:r>
      <w:r w:rsidRPr="00F94F4E">
        <w:rPr>
          <w:rFonts w:ascii="Garamond" w:hAnsi="Garamond" w:cs="Times New Roman"/>
          <w:i/>
          <w:iCs/>
          <w:lang w:val="en-GB"/>
        </w:rPr>
        <w:t>ld</w:t>
      </w:r>
      <w:r w:rsidRPr="00F94F4E">
        <w:rPr>
          <w:rFonts w:ascii="Garamond" w:hAnsi="Garamond" w:cs="Garamond"/>
          <w:i/>
          <w:iCs/>
          <w:lang w:val="en-GB"/>
        </w:rPr>
        <w:t>ı</w:t>
      </w:r>
      <w:r w:rsidRPr="00F94F4E">
        <w:rPr>
          <w:rFonts w:ascii="Garamond" w:hAnsi="Garamond" w:cs="Times New Roman"/>
          <w:i/>
          <w:iCs/>
          <w:lang w:val="en-GB"/>
        </w:rPr>
        <w:t>z v.Turkey</w:t>
      </w:r>
      <w:r w:rsidRPr="00F94F4E">
        <w:rPr>
          <w:rFonts w:ascii="Garamond" w:hAnsi="Garamond" w:cs="Times New Roman"/>
          <w:lang w:val="en-GB"/>
        </w:rPr>
        <w:t xml:space="preserve">, §98-101; </w:t>
      </w:r>
      <w:r w:rsidRPr="00F94F4E">
        <w:rPr>
          <w:rFonts w:ascii="Garamond" w:hAnsi="Garamond" w:cs="Times New Roman"/>
          <w:i/>
          <w:iCs/>
          <w:lang w:val="en-GB"/>
        </w:rPr>
        <w:t>Kolyadenko and others. v. Russia</w:t>
      </w:r>
      <w:r w:rsidRPr="00F94F4E">
        <w:rPr>
          <w:rFonts w:ascii="Garamond" w:hAnsi="Garamond" w:cs="Times New Roman"/>
          <w:lang w:val="en-GB"/>
        </w:rPr>
        <w:t xml:space="preserve">, 9 July 2012, §§174-180; </w:t>
      </w:r>
      <w:r w:rsidRPr="00F94F4E">
        <w:rPr>
          <w:rFonts w:ascii="Garamond" w:hAnsi="Garamond"/>
          <w:i/>
          <w:lang w:val="en-GB"/>
        </w:rPr>
        <w:t>Taşkin and others v. Turkey</w:t>
      </w:r>
      <w:r w:rsidRPr="00F94F4E">
        <w:rPr>
          <w:rFonts w:ascii="Garamond" w:hAnsi="Garamond" w:cs="Times New Roman"/>
          <w:lang w:val="en-GB"/>
        </w:rPr>
        <w:t>, §§107, 111-114.</w:t>
      </w:r>
    </w:p>
  </w:footnote>
  <w:footnote w:id="115">
    <w:p w14:paraId="56725728" w14:textId="77777777" w:rsidR="008D4DEB" w:rsidRPr="00F94F4E" w:rsidRDefault="008D4DEB" w:rsidP="008D4DEB">
      <w:pPr>
        <w:pStyle w:val="Notedebasdepage"/>
        <w:jc w:val="both"/>
        <w:rPr>
          <w:rFonts w:ascii="Garamond" w:hAnsi="Garamond"/>
          <w:lang w:val="en-GB"/>
        </w:rPr>
      </w:pPr>
      <w:r w:rsidRPr="00F94F4E">
        <w:rPr>
          <w:rStyle w:val="Appelnotedebasdep"/>
          <w:rFonts w:ascii="Garamond" w:hAnsi="Garamond"/>
          <w:lang w:val="en-GB"/>
        </w:rPr>
        <w:footnoteRef/>
      </w:r>
      <w:r w:rsidRPr="00F94F4E">
        <w:rPr>
          <w:rFonts w:ascii="Garamond" w:hAnsi="Garamond"/>
          <w:lang w:val="en-GB"/>
        </w:rPr>
        <w:t xml:space="preserve"> </w:t>
      </w:r>
      <w:r w:rsidRPr="00F94F4E">
        <w:rPr>
          <w:rFonts w:ascii="Garamond" w:hAnsi="Garamond" w:cs="ñ-VŒ˛"/>
          <w:i/>
          <w:lang w:val="en-GB"/>
        </w:rPr>
        <w:t>Taşkın and Others v Turkey</w:t>
      </w:r>
      <w:r w:rsidRPr="00F94F4E">
        <w:rPr>
          <w:rFonts w:ascii="Garamond" w:hAnsi="Garamond" w:cs="ñ-VŒ˛"/>
          <w:lang w:val="en-GB"/>
        </w:rPr>
        <w:t xml:space="preserve">, 30 March 2005; </w:t>
      </w:r>
      <w:r w:rsidRPr="00F94F4E">
        <w:rPr>
          <w:rFonts w:ascii="Garamond" w:hAnsi="Garamond" w:cs="ñ-VŒ˛"/>
          <w:i/>
          <w:lang w:val="en-GB"/>
        </w:rPr>
        <w:t>Tătar v. Romania</w:t>
      </w:r>
      <w:r w:rsidRPr="00F94F4E">
        <w:rPr>
          <w:rFonts w:ascii="Garamond" w:hAnsi="Garamond" w:cs="ñ-VŒ˛"/>
          <w:lang w:val="en-GB"/>
        </w:rPr>
        <w:t xml:space="preserve">; </w:t>
      </w:r>
      <w:r w:rsidRPr="00F94F4E">
        <w:rPr>
          <w:rFonts w:ascii="Garamond" w:hAnsi="Garamond" w:cs="Times New Roman"/>
          <w:i/>
          <w:lang w:val="en-GB"/>
        </w:rPr>
        <w:t>Hardy and Maile v. United Kingdom</w:t>
      </w:r>
      <w:r w:rsidRPr="00F94F4E">
        <w:rPr>
          <w:rFonts w:ascii="Garamond" w:hAnsi="Garamond" w:cs="Times New Roman"/>
          <w:lang w:val="en-GB"/>
        </w:rPr>
        <w:t xml:space="preserve">, app. no. 31965/07, 14 February 2012; </w:t>
      </w:r>
      <w:r w:rsidRPr="00F94F4E">
        <w:rPr>
          <w:rFonts w:ascii="Garamond" w:hAnsi="Garamond" w:cs="Times New Roman"/>
          <w:i/>
          <w:lang w:val="en-GB"/>
        </w:rPr>
        <w:t>Guerra and Others v Italy</w:t>
      </w:r>
      <w:r w:rsidRPr="00F94F4E">
        <w:rPr>
          <w:rFonts w:ascii="Garamond" w:hAnsi="Garamond" w:cs="Times New Roman"/>
          <w:lang w:val="en-GB"/>
        </w:rPr>
        <w:t>, app. no. 14967/89 (19 February 1998).</w:t>
      </w:r>
    </w:p>
  </w:footnote>
  <w:footnote w:id="116">
    <w:p w14:paraId="7B867BD5" w14:textId="77777777" w:rsidR="008D4DEB" w:rsidRPr="00F94F4E" w:rsidRDefault="008D4DEB" w:rsidP="008D4DEB">
      <w:pPr>
        <w:pStyle w:val="Notedebasdepage"/>
        <w:jc w:val="both"/>
        <w:rPr>
          <w:rFonts w:ascii="Garamond" w:hAnsi="Garamond"/>
          <w:lang w:val="en-GB"/>
        </w:rPr>
      </w:pPr>
      <w:r w:rsidRPr="00F94F4E">
        <w:rPr>
          <w:rStyle w:val="Appelnotedebasdep"/>
          <w:rFonts w:ascii="Garamond" w:hAnsi="Garamond"/>
          <w:lang w:val="en-GB"/>
        </w:rPr>
        <w:footnoteRef/>
      </w:r>
      <w:r w:rsidRPr="00F94F4E">
        <w:rPr>
          <w:rFonts w:ascii="Garamond" w:hAnsi="Garamond"/>
          <w:lang w:val="en-GB"/>
        </w:rPr>
        <w:t xml:space="preserve"> </w:t>
      </w:r>
      <w:r w:rsidRPr="00F94F4E">
        <w:rPr>
          <w:rFonts w:ascii="Garamond" w:hAnsi="Garamond" w:cs="Times New Roman"/>
          <w:i/>
          <w:lang w:val="en-GB"/>
        </w:rPr>
        <w:t>Di Sarno and Others v. Italy</w:t>
      </w:r>
      <w:r w:rsidRPr="00F94F4E">
        <w:rPr>
          <w:rFonts w:ascii="Garamond" w:hAnsi="Garamond" w:cs="Times New Roman"/>
          <w:lang w:val="en-GB"/>
        </w:rPr>
        <w:t>, app. no. 30765/08, 10 January 2012, §108.</w:t>
      </w:r>
    </w:p>
  </w:footnote>
  <w:footnote w:id="117">
    <w:p w14:paraId="7149A691"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cs="Times New Roman"/>
          <w:lang w:val="en-GB"/>
        </w:rPr>
        <w:footnoteRef/>
      </w:r>
      <w:r w:rsidRPr="00F94F4E">
        <w:rPr>
          <w:rFonts w:ascii="Garamond" w:hAnsi="Garamond" w:cs="Times New Roman"/>
          <w:lang w:val="en-GB"/>
        </w:rPr>
        <w:t xml:space="preserve"> </w:t>
      </w:r>
      <w:r w:rsidRPr="00F94F4E">
        <w:rPr>
          <w:rFonts w:ascii="Garamond" w:hAnsi="Garamond" w:cs="Times New Roman"/>
          <w:i/>
          <w:iCs/>
          <w:lang w:val="en-GB"/>
        </w:rPr>
        <w:t>Budayeva and Others v Russia</w:t>
      </w:r>
      <w:r w:rsidRPr="00F94F4E">
        <w:rPr>
          <w:rFonts w:ascii="Garamond" w:hAnsi="Garamond" w:cs="Times New Roman"/>
          <w:iCs/>
          <w:lang w:val="en-GB"/>
        </w:rPr>
        <w:t xml:space="preserve">, </w:t>
      </w:r>
      <w:r w:rsidRPr="00F94F4E">
        <w:rPr>
          <w:rFonts w:ascii="Garamond" w:hAnsi="Garamond" w:cs="Times New Roman"/>
          <w:lang w:val="en-GB"/>
        </w:rPr>
        <w:t>§133</w:t>
      </w:r>
      <w:r w:rsidRPr="00F94F4E">
        <w:rPr>
          <w:rFonts w:ascii="Garamond" w:hAnsi="Garamond" w:cs="Times New Roman"/>
          <w:iCs/>
          <w:lang w:val="en-GB"/>
        </w:rPr>
        <w:t>.</w:t>
      </w:r>
    </w:p>
  </w:footnote>
  <w:footnote w:id="118">
    <w:p w14:paraId="3188032F" w14:textId="77777777" w:rsidR="008D4DEB" w:rsidRPr="00F94F4E" w:rsidRDefault="008D4DEB" w:rsidP="008D4DEB">
      <w:pPr>
        <w:autoSpaceDE w:val="0"/>
        <w:adjustRightInd w:val="0"/>
        <w:jc w:val="both"/>
        <w:rPr>
          <w:rFonts w:ascii="Garamond" w:hAnsi="Garamond"/>
          <w:sz w:val="20"/>
          <w:szCs w:val="20"/>
          <w:lang w:val="en-GB"/>
        </w:rPr>
      </w:pPr>
      <w:r w:rsidRPr="00F94F4E">
        <w:rPr>
          <w:rStyle w:val="Appelnotedebasdep"/>
          <w:rFonts w:ascii="Garamond" w:hAnsi="Garamond"/>
          <w:sz w:val="20"/>
          <w:szCs w:val="20"/>
          <w:lang w:val="en-GB"/>
        </w:rPr>
        <w:footnoteRef/>
      </w:r>
      <w:r w:rsidRPr="00F94F4E">
        <w:rPr>
          <w:rFonts w:ascii="Garamond" w:hAnsi="Garamond"/>
          <w:sz w:val="20"/>
          <w:szCs w:val="20"/>
          <w:lang w:val="en-GB"/>
        </w:rPr>
        <w:t xml:space="preserve"> </w:t>
      </w:r>
      <w:r w:rsidRPr="00F94F4E">
        <w:rPr>
          <w:rFonts w:ascii="Garamond" w:hAnsi="Garamond"/>
          <w:i/>
          <w:iCs/>
          <w:sz w:val="20"/>
          <w:szCs w:val="20"/>
          <w:lang w:val="en-GB"/>
        </w:rPr>
        <w:t>Ledyayeva and Others v. Russia</w:t>
      </w:r>
      <w:r w:rsidRPr="00F94F4E">
        <w:rPr>
          <w:rFonts w:ascii="Garamond" w:hAnsi="Garamond"/>
          <w:sz w:val="20"/>
          <w:szCs w:val="20"/>
          <w:lang w:val="en-GB"/>
        </w:rPr>
        <w:t xml:space="preserve">, app. nos. 53157/99 and others, 26 March 2007, §101. See also: </w:t>
      </w:r>
      <w:r w:rsidRPr="00F94F4E">
        <w:rPr>
          <w:rFonts w:ascii="Garamond" w:hAnsi="Garamond"/>
          <w:i/>
          <w:iCs/>
          <w:sz w:val="20"/>
          <w:szCs w:val="20"/>
          <w:lang w:val="en-GB"/>
        </w:rPr>
        <w:t>Budayeva</w:t>
      </w:r>
      <w:r w:rsidRPr="00F94F4E">
        <w:rPr>
          <w:rFonts w:ascii="Garamond" w:hAnsi="Garamond"/>
          <w:sz w:val="20"/>
          <w:szCs w:val="20"/>
          <w:lang w:val="en-GB"/>
        </w:rPr>
        <w:t xml:space="preserve">, §128; </w:t>
      </w:r>
      <w:r w:rsidRPr="00F94F4E">
        <w:rPr>
          <w:rFonts w:ascii="Garamond" w:eastAsia="TimesNewRomanPS-ItalicMT" w:hAnsi="Garamond"/>
          <w:i/>
          <w:iCs/>
          <w:sz w:val="20"/>
          <w:szCs w:val="20"/>
          <w:lang w:val="en-GB"/>
        </w:rPr>
        <w:t xml:space="preserve">Băcilă v </w:t>
      </w:r>
      <w:r w:rsidRPr="00F94F4E">
        <w:rPr>
          <w:rFonts w:ascii="Garamond" w:hAnsi="Garamond"/>
          <w:i/>
          <w:iCs/>
          <w:sz w:val="20"/>
          <w:szCs w:val="20"/>
          <w:lang w:val="en-GB"/>
        </w:rPr>
        <w:t>Romania</w:t>
      </w:r>
      <w:r w:rsidRPr="00F94F4E">
        <w:rPr>
          <w:rFonts w:ascii="Garamond" w:hAnsi="Garamond"/>
          <w:iCs/>
          <w:sz w:val="20"/>
          <w:szCs w:val="20"/>
          <w:lang w:val="en-GB"/>
        </w:rPr>
        <w:t>, a</w:t>
      </w:r>
      <w:r w:rsidRPr="00F94F4E">
        <w:rPr>
          <w:rFonts w:ascii="Garamond" w:hAnsi="Garamond"/>
          <w:sz w:val="20"/>
          <w:szCs w:val="20"/>
          <w:lang w:val="en-GB"/>
        </w:rPr>
        <w:t>pp. no. 19234/04, 4 October 2010, §§60</w:t>
      </w:r>
      <w:r w:rsidRPr="00F94F4E">
        <w:rPr>
          <w:rFonts w:ascii="Garamond" w:eastAsia="TimesNewRomanPSMT" w:hAnsi="Garamond"/>
          <w:sz w:val="20"/>
          <w:szCs w:val="20"/>
          <w:lang w:val="en-GB"/>
        </w:rPr>
        <w:t>-</w:t>
      </w:r>
      <w:r w:rsidRPr="00F94F4E">
        <w:rPr>
          <w:rFonts w:ascii="Garamond" w:hAnsi="Garamond"/>
          <w:sz w:val="20"/>
          <w:szCs w:val="20"/>
          <w:lang w:val="en-GB"/>
        </w:rPr>
        <w:t>61.</w:t>
      </w:r>
    </w:p>
  </w:footnote>
  <w:footnote w:id="119">
    <w:p w14:paraId="49EEFB50"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lang w:val="en-GB"/>
        </w:rPr>
        <w:footnoteRef/>
      </w:r>
      <w:r w:rsidRPr="00F94F4E">
        <w:rPr>
          <w:rFonts w:ascii="Garamond" w:hAnsi="Garamond" w:cs="Times New Roman"/>
          <w:lang w:val="en-GB"/>
        </w:rPr>
        <w:t xml:space="preserve"> </w:t>
      </w:r>
      <w:r w:rsidRPr="00F94F4E">
        <w:rPr>
          <w:rFonts w:ascii="Garamond" w:hAnsi="Garamond" w:cs="Times New Roman"/>
          <w:i/>
          <w:iCs/>
          <w:lang w:val="en-GB"/>
        </w:rPr>
        <w:t>Öneryildiz v Turkey</w:t>
      </w:r>
      <w:r w:rsidRPr="00F94F4E">
        <w:rPr>
          <w:rFonts w:ascii="Garamond" w:hAnsi="Garamond" w:cs="Times New Roman"/>
          <w:lang w:val="en-GB"/>
        </w:rPr>
        <w:t xml:space="preserve">, §89; </w:t>
      </w:r>
      <w:r w:rsidRPr="00F94F4E">
        <w:rPr>
          <w:rFonts w:ascii="Garamond" w:eastAsia="TimesNewRomanPS-ItalicMT" w:hAnsi="Garamond" w:cs="Times New Roman"/>
          <w:i/>
          <w:iCs/>
          <w:lang w:val="en-GB"/>
        </w:rPr>
        <w:t>Tătar v. Romania</w:t>
      </w:r>
      <w:r w:rsidRPr="00F94F4E">
        <w:rPr>
          <w:rFonts w:ascii="Garamond" w:eastAsia="TimesNewRomanPS-ItalicMT" w:hAnsi="Garamond" w:cs="Times New Roman"/>
          <w:iCs/>
          <w:lang w:val="en-GB"/>
        </w:rPr>
        <w:t>, §</w:t>
      </w:r>
      <w:r w:rsidRPr="00F94F4E">
        <w:rPr>
          <w:rFonts w:ascii="Garamond" w:hAnsi="Garamond" w:cs="Times New Roman"/>
          <w:lang w:val="en-GB"/>
        </w:rPr>
        <w:t xml:space="preserve">88; </w:t>
      </w:r>
      <w:r w:rsidRPr="00F94F4E">
        <w:rPr>
          <w:rFonts w:ascii="Garamond" w:hAnsi="Garamond" w:cs="Times New Roman"/>
          <w:i/>
          <w:iCs/>
          <w:lang w:val="en-GB"/>
        </w:rPr>
        <w:t>Budayeva</w:t>
      </w:r>
      <w:r w:rsidRPr="00F94F4E">
        <w:rPr>
          <w:rFonts w:ascii="Garamond" w:hAnsi="Garamond" w:cs="Times New Roman"/>
          <w:lang w:val="en-GB"/>
        </w:rPr>
        <w:t>, §129.</w:t>
      </w:r>
    </w:p>
  </w:footnote>
  <w:footnote w:id="120">
    <w:p w14:paraId="702C12B6" w14:textId="77777777" w:rsidR="008D4DEB" w:rsidRPr="00F94F4E" w:rsidRDefault="008D4DEB" w:rsidP="008D4DEB">
      <w:pPr>
        <w:autoSpaceDE w:val="0"/>
        <w:adjustRightInd w:val="0"/>
        <w:jc w:val="both"/>
        <w:rPr>
          <w:rFonts w:ascii="Garamond" w:eastAsia="TimesNewRomanPS-ItalicMT" w:hAnsi="Garamond"/>
          <w:sz w:val="20"/>
          <w:szCs w:val="20"/>
          <w:lang w:val="en-GB"/>
        </w:rPr>
      </w:pPr>
      <w:r w:rsidRPr="00F94F4E">
        <w:rPr>
          <w:rStyle w:val="Appelnotedebasdep"/>
          <w:rFonts w:ascii="Garamond" w:hAnsi="Garamond"/>
          <w:sz w:val="20"/>
          <w:szCs w:val="20"/>
          <w:lang w:val="en-GB"/>
        </w:rPr>
        <w:footnoteRef/>
      </w:r>
      <w:r w:rsidRPr="00F94F4E">
        <w:rPr>
          <w:rFonts w:ascii="Garamond" w:hAnsi="Garamond"/>
          <w:sz w:val="20"/>
          <w:szCs w:val="20"/>
          <w:lang w:val="en-GB"/>
        </w:rPr>
        <w:t xml:space="preserve"> </w:t>
      </w:r>
      <w:r w:rsidRPr="00F94F4E">
        <w:rPr>
          <w:rFonts w:ascii="Garamond" w:eastAsia="TimesNewRomanPS-ItalicMT" w:hAnsi="Garamond"/>
          <w:i/>
          <w:iCs/>
          <w:sz w:val="20"/>
          <w:szCs w:val="20"/>
          <w:lang w:val="en-GB"/>
        </w:rPr>
        <w:t>Taşkın and Others v Turkey</w:t>
      </w:r>
      <w:r w:rsidRPr="00F94F4E">
        <w:rPr>
          <w:rFonts w:ascii="Garamond" w:eastAsia="TimesNewRomanPS-ItalicMT" w:hAnsi="Garamond"/>
          <w:sz w:val="20"/>
          <w:szCs w:val="20"/>
          <w:lang w:val="en-GB"/>
        </w:rPr>
        <w:t xml:space="preserve">, 30 March 2005, §118; </w:t>
      </w:r>
      <w:r w:rsidRPr="00F94F4E">
        <w:rPr>
          <w:rFonts w:ascii="Garamond" w:eastAsia="TimesNewRomanPS-ItalicMT" w:hAnsi="Garamond"/>
          <w:i/>
          <w:iCs/>
          <w:sz w:val="20"/>
          <w:szCs w:val="20"/>
          <w:lang w:val="en-GB"/>
        </w:rPr>
        <w:t>Hatton and Others v. United Kingdom</w:t>
      </w:r>
      <w:r w:rsidRPr="00F94F4E">
        <w:rPr>
          <w:rFonts w:ascii="Garamond" w:eastAsia="TimesNewRomanPS-ItalicMT" w:hAnsi="Garamond"/>
          <w:iCs/>
          <w:sz w:val="20"/>
          <w:szCs w:val="20"/>
          <w:lang w:val="en-GB"/>
        </w:rPr>
        <w:t>, a</w:t>
      </w:r>
      <w:r w:rsidRPr="00F94F4E">
        <w:rPr>
          <w:rFonts w:ascii="Garamond" w:eastAsia="TimesNewRomanPS-ItalicMT" w:hAnsi="Garamond"/>
          <w:sz w:val="20"/>
          <w:szCs w:val="20"/>
          <w:lang w:val="en-GB"/>
        </w:rPr>
        <w:t xml:space="preserve">pp. no. 36022/97, 8 July 2003, §104; </w:t>
      </w:r>
      <w:r w:rsidRPr="00F94F4E">
        <w:rPr>
          <w:rFonts w:ascii="Garamond" w:eastAsia="TimesNewRomanPS-ItalicMT" w:hAnsi="Garamond"/>
          <w:i/>
          <w:iCs/>
          <w:sz w:val="20"/>
          <w:szCs w:val="20"/>
          <w:lang w:val="en-GB"/>
        </w:rPr>
        <w:t>Budayeva</w:t>
      </w:r>
      <w:r w:rsidRPr="00F94F4E">
        <w:rPr>
          <w:rFonts w:ascii="Garamond" w:eastAsia="TimesNewRomanPS-ItalicMT" w:hAnsi="Garamond"/>
          <w:sz w:val="20"/>
          <w:szCs w:val="20"/>
          <w:lang w:val="en-GB"/>
        </w:rPr>
        <w:t>, §131.</w:t>
      </w:r>
    </w:p>
  </w:footnote>
  <w:footnote w:id="121">
    <w:p w14:paraId="65D6CA79"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lang w:val="en-GB"/>
        </w:rPr>
        <w:footnoteRef/>
      </w:r>
      <w:r w:rsidRPr="00F94F4E">
        <w:rPr>
          <w:rFonts w:ascii="Garamond" w:hAnsi="Garamond" w:cs="Times New Roman"/>
          <w:lang w:val="en-GB"/>
        </w:rPr>
        <w:t xml:space="preserve"> </w:t>
      </w:r>
      <w:r w:rsidRPr="00F94F4E">
        <w:rPr>
          <w:rFonts w:ascii="Garamond" w:hAnsi="Garamond" w:cs="Times New Roman"/>
          <w:i/>
          <w:iCs/>
          <w:lang w:val="en-GB"/>
        </w:rPr>
        <w:t>Taskin</w:t>
      </w:r>
      <w:r w:rsidRPr="00F94F4E">
        <w:rPr>
          <w:rFonts w:ascii="Garamond" w:hAnsi="Garamond" w:cs="Times New Roman"/>
          <w:lang w:val="en-GB"/>
        </w:rPr>
        <w:t xml:space="preserve">, §119; </w:t>
      </w:r>
      <w:r w:rsidRPr="00F94F4E">
        <w:rPr>
          <w:rFonts w:ascii="Garamond" w:hAnsi="Garamond" w:cs="Times New Roman"/>
          <w:i/>
          <w:iCs/>
          <w:lang w:val="en-GB"/>
        </w:rPr>
        <w:t>Hatton</w:t>
      </w:r>
      <w:r w:rsidRPr="00F94F4E">
        <w:rPr>
          <w:rFonts w:ascii="Garamond" w:hAnsi="Garamond" w:cs="Times New Roman"/>
          <w:lang w:val="en-GB"/>
        </w:rPr>
        <w:t>, §128. Including participatory requirements (</w:t>
      </w:r>
      <w:r w:rsidRPr="00F94F4E">
        <w:rPr>
          <w:rFonts w:ascii="Garamond" w:hAnsi="Garamond" w:cs="Times New Roman"/>
          <w:i/>
          <w:lang w:val="en-GB"/>
        </w:rPr>
        <w:t>Giacomelli v. Italy</w:t>
      </w:r>
      <w:r w:rsidRPr="00F94F4E">
        <w:rPr>
          <w:rFonts w:ascii="Garamond" w:hAnsi="Garamond" w:cs="Times New Roman"/>
          <w:lang w:val="en-GB"/>
        </w:rPr>
        <w:t>, app. no. 59909/00, §83).</w:t>
      </w:r>
    </w:p>
  </w:footnote>
  <w:footnote w:id="122">
    <w:p w14:paraId="7C22759F"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lang w:val="en-GB"/>
        </w:rPr>
        <w:footnoteRef/>
      </w:r>
      <w:r w:rsidRPr="00F94F4E">
        <w:rPr>
          <w:rFonts w:ascii="Garamond" w:hAnsi="Garamond" w:cs="Times New Roman"/>
          <w:lang w:val="en-GB"/>
        </w:rPr>
        <w:t xml:space="preserve"> </w:t>
      </w:r>
      <w:r w:rsidRPr="00F94F4E">
        <w:rPr>
          <w:rFonts w:ascii="Garamond" w:hAnsi="Garamond" w:cs="Times New Roman"/>
          <w:i/>
          <w:iCs/>
          <w:lang w:val="en-GB"/>
        </w:rPr>
        <w:t>Tătar</w:t>
      </w:r>
      <w:r w:rsidRPr="00F94F4E">
        <w:rPr>
          <w:rFonts w:ascii="Garamond" w:hAnsi="Garamond" w:cs="Times New Roman"/>
          <w:lang w:val="en-GB"/>
        </w:rPr>
        <w:t>, §§101 and 112.</w:t>
      </w:r>
    </w:p>
  </w:footnote>
  <w:footnote w:id="123">
    <w:p w14:paraId="510743A8"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lang w:val="en-GB"/>
        </w:rPr>
        <w:footnoteRef/>
      </w:r>
      <w:r w:rsidRPr="00F94F4E">
        <w:rPr>
          <w:rFonts w:ascii="Garamond" w:hAnsi="Garamond" w:cs="Times New Roman"/>
          <w:lang w:val="en-GB"/>
        </w:rPr>
        <w:t xml:space="preserve"> </w:t>
      </w:r>
      <w:r w:rsidRPr="00F94F4E">
        <w:rPr>
          <w:rFonts w:ascii="Garamond" w:hAnsi="Garamond" w:cs="Times New Roman"/>
          <w:i/>
          <w:iCs/>
          <w:lang w:val="en-GB"/>
        </w:rPr>
        <w:t>Taskin</w:t>
      </w:r>
      <w:r w:rsidRPr="00F94F4E">
        <w:rPr>
          <w:rFonts w:ascii="Garamond" w:hAnsi="Garamond" w:cs="Times New Roman"/>
          <w:lang w:val="en-GB"/>
        </w:rPr>
        <w:t xml:space="preserve">, §119; </w:t>
      </w:r>
      <w:r w:rsidRPr="00F94F4E">
        <w:rPr>
          <w:rFonts w:ascii="Garamond" w:hAnsi="Garamond" w:cs="Times New Roman"/>
          <w:i/>
          <w:iCs/>
          <w:lang w:val="en-GB"/>
        </w:rPr>
        <w:t>Tătar</w:t>
      </w:r>
      <w:r w:rsidRPr="00F94F4E">
        <w:rPr>
          <w:rFonts w:ascii="Garamond" w:hAnsi="Garamond" w:cs="Times New Roman"/>
          <w:lang w:val="en-GB"/>
        </w:rPr>
        <w:t>, §88.</w:t>
      </w:r>
    </w:p>
  </w:footnote>
  <w:footnote w:id="124">
    <w:p w14:paraId="1EBB5747" w14:textId="77777777" w:rsidR="008D4DEB" w:rsidRPr="00F94F4E" w:rsidRDefault="008D4DEB" w:rsidP="008D4DEB">
      <w:pPr>
        <w:pStyle w:val="Notedebasdepage"/>
        <w:jc w:val="both"/>
        <w:rPr>
          <w:rFonts w:ascii="Garamond" w:hAnsi="Garamond"/>
          <w:lang w:val="en-GB"/>
        </w:rPr>
      </w:pPr>
      <w:r w:rsidRPr="00F94F4E">
        <w:rPr>
          <w:rStyle w:val="Appelnotedebasdep"/>
          <w:rFonts w:ascii="Garamond" w:hAnsi="Garamond"/>
          <w:lang w:val="en-GB"/>
        </w:rPr>
        <w:footnoteRef/>
      </w:r>
      <w:r w:rsidRPr="00F94F4E">
        <w:rPr>
          <w:rFonts w:ascii="Garamond" w:hAnsi="Garamond"/>
          <w:lang w:val="en-GB"/>
        </w:rPr>
        <w:t xml:space="preserve"> </w:t>
      </w:r>
      <w:r w:rsidRPr="00F94F4E">
        <w:rPr>
          <w:rFonts w:ascii="Garamond" w:hAnsi="Garamond"/>
          <w:i/>
          <w:lang w:val="en-GB"/>
        </w:rPr>
        <w:t xml:space="preserve">McCann and Others v United Kingdom </w:t>
      </w:r>
      <w:r w:rsidRPr="00F94F4E">
        <w:rPr>
          <w:rFonts w:ascii="Garamond" w:hAnsi="Garamond"/>
          <w:lang w:val="en-GB"/>
        </w:rPr>
        <w:t>[GC], app. no. 18984/91, 27 September 1995, §147.</w:t>
      </w:r>
    </w:p>
  </w:footnote>
  <w:footnote w:id="125">
    <w:p w14:paraId="14101111" w14:textId="77777777" w:rsidR="008D4DEB" w:rsidRPr="00F94F4E" w:rsidRDefault="008D4DEB" w:rsidP="008D4DEB">
      <w:pPr>
        <w:pStyle w:val="Notedebasdepage"/>
        <w:jc w:val="both"/>
        <w:rPr>
          <w:rFonts w:ascii="Garamond" w:hAnsi="Garamond"/>
          <w:lang w:val="en-GB"/>
        </w:rPr>
      </w:pPr>
      <w:r w:rsidRPr="00F94F4E">
        <w:rPr>
          <w:rStyle w:val="Appelnotedebasdep"/>
          <w:rFonts w:ascii="Garamond" w:hAnsi="Garamond"/>
          <w:lang w:val="en-GB"/>
        </w:rPr>
        <w:footnoteRef/>
      </w:r>
      <w:r w:rsidRPr="00F94F4E">
        <w:rPr>
          <w:rFonts w:ascii="Garamond" w:hAnsi="Garamond"/>
          <w:lang w:val="en-GB"/>
        </w:rPr>
        <w:t xml:space="preserve"> </w:t>
      </w:r>
      <w:r w:rsidRPr="00F94F4E">
        <w:rPr>
          <w:rFonts w:ascii="Garamond" w:hAnsi="Garamond" w:cs="Times New Roman"/>
          <w:i/>
          <w:lang w:val="en-GB"/>
        </w:rPr>
        <w:t>Öneryildiz v Turkey</w:t>
      </w:r>
      <w:r w:rsidRPr="00F94F4E">
        <w:rPr>
          <w:rFonts w:ascii="Garamond" w:hAnsi="Garamond" w:cs="Times New Roman"/>
          <w:lang w:val="en-GB"/>
        </w:rPr>
        <w:t xml:space="preserve">, §69; </w:t>
      </w:r>
      <w:r w:rsidRPr="00F94F4E">
        <w:rPr>
          <w:rFonts w:ascii="Garamond" w:hAnsi="Garamond" w:cs="Times New Roman"/>
          <w:i/>
          <w:lang w:val="en-GB"/>
        </w:rPr>
        <w:t>Giuliani and Gaggio v Italy</w:t>
      </w:r>
      <w:r w:rsidRPr="00F94F4E">
        <w:rPr>
          <w:rFonts w:ascii="Garamond" w:hAnsi="Garamond" w:cs="Times New Roman"/>
          <w:lang w:val="en-GB"/>
        </w:rPr>
        <w:t>, app. no. 23458/02, 24 March 2011, §182.</w:t>
      </w:r>
    </w:p>
  </w:footnote>
  <w:footnote w:id="126">
    <w:p w14:paraId="476B7D96" w14:textId="77777777" w:rsidR="008D4DEB" w:rsidRPr="00F94F4E" w:rsidRDefault="008D4DEB" w:rsidP="008D4DEB">
      <w:pPr>
        <w:autoSpaceDE w:val="0"/>
        <w:autoSpaceDN w:val="0"/>
        <w:adjustRightInd w:val="0"/>
        <w:jc w:val="both"/>
        <w:rPr>
          <w:rFonts w:ascii="Garamond" w:hAnsi="Garamond" w:cs="Times New Roman"/>
          <w:sz w:val="20"/>
          <w:szCs w:val="20"/>
          <w:lang w:val="en-GB"/>
        </w:rPr>
      </w:pPr>
      <w:r w:rsidRPr="00F94F4E">
        <w:rPr>
          <w:rStyle w:val="Appelnotedebasdep"/>
          <w:rFonts w:ascii="Garamond" w:hAnsi="Garamond"/>
          <w:sz w:val="20"/>
          <w:szCs w:val="20"/>
          <w:lang w:val="en-GB"/>
        </w:rPr>
        <w:footnoteRef/>
      </w:r>
      <w:r w:rsidRPr="00F94F4E">
        <w:rPr>
          <w:rFonts w:ascii="Garamond" w:hAnsi="Garamond"/>
          <w:sz w:val="20"/>
          <w:szCs w:val="20"/>
          <w:lang w:val="en-GB"/>
        </w:rPr>
        <w:t xml:space="preserve"> </w:t>
      </w:r>
      <w:r w:rsidRPr="00F94F4E">
        <w:rPr>
          <w:rFonts w:ascii="Garamond" w:hAnsi="Garamond" w:cs="Times New Roman"/>
          <w:i/>
          <w:sz w:val="20"/>
          <w:szCs w:val="20"/>
          <w:lang w:val="en-GB"/>
        </w:rPr>
        <w:t>LCB v United Kingdom</w:t>
      </w:r>
      <w:r w:rsidRPr="00F94F4E">
        <w:rPr>
          <w:rFonts w:ascii="Garamond" w:hAnsi="Garamond" w:cs="Times New Roman"/>
          <w:sz w:val="20"/>
          <w:szCs w:val="20"/>
          <w:lang w:val="en-GB"/>
        </w:rPr>
        <w:t xml:space="preserve">, app. no. 23413/94, 9 June 1998, §36. See also: </w:t>
      </w:r>
      <w:r w:rsidRPr="00F94F4E">
        <w:rPr>
          <w:rFonts w:ascii="Garamond" w:hAnsi="Garamond" w:cs="Times New Roman"/>
          <w:i/>
          <w:sz w:val="20"/>
          <w:szCs w:val="20"/>
          <w:lang w:val="en-GB"/>
        </w:rPr>
        <w:t>Ercan Bozkurt v Turkey</w:t>
      </w:r>
      <w:r w:rsidRPr="00F94F4E">
        <w:rPr>
          <w:rFonts w:ascii="Garamond" w:hAnsi="Garamond" w:cs="Times New Roman"/>
          <w:sz w:val="20"/>
          <w:szCs w:val="20"/>
          <w:lang w:val="en-GB"/>
        </w:rPr>
        <w:t>, app. no. 20620/10, 23 June 2015, §</w:t>
      </w:r>
      <w:r w:rsidRPr="00F94F4E">
        <w:rPr>
          <w:rFonts w:ascii="Garamond" w:hAnsi="Garamond" w:cs="ñ-VŒ˛"/>
          <w:sz w:val="20"/>
          <w:szCs w:val="20"/>
          <w:lang w:val="en-GB"/>
        </w:rPr>
        <w:t>54.</w:t>
      </w:r>
    </w:p>
  </w:footnote>
  <w:footnote w:id="127">
    <w:p w14:paraId="01BDB71E" w14:textId="77777777" w:rsidR="008D4DEB" w:rsidRPr="00F94F4E" w:rsidRDefault="008D4DEB" w:rsidP="008D4DEB">
      <w:pPr>
        <w:autoSpaceDE w:val="0"/>
        <w:autoSpaceDN w:val="0"/>
        <w:adjustRightInd w:val="0"/>
        <w:jc w:val="both"/>
        <w:rPr>
          <w:rFonts w:ascii="Garamond" w:hAnsi="Garamond" w:cs="Times New Roman"/>
          <w:sz w:val="20"/>
          <w:szCs w:val="20"/>
          <w:lang w:val="en-GB"/>
        </w:rPr>
      </w:pPr>
      <w:r w:rsidRPr="00F94F4E">
        <w:rPr>
          <w:rStyle w:val="Appelnotedebasdep"/>
          <w:rFonts w:ascii="Garamond" w:hAnsi="Garamond"/>
          <w:sz w:val="20"/>
          <w:szCs w:val="20"/>
          <w:lang w:val="en-GB"/>
        </w:rPr>
        <w:footnoteRef/>
      </w:r>
      <w:r w:rsidRPr="00F94F4E">
        <w:rPr>
          <w:rFonts w:ascii="Garamond" w:hAnsi="Garamond"/>
          <w:sz w:val="20"/>
          <w:szCs w:val="20"/>
          <w:lang w:val="en-GB"/>
        </w:rPr>
        <w:t xml:space="preserve"> </w:t>
      </w:r>
      <w:r w:rsidRPr="00F94F4E">
        <w:rPr>
          <w:rFonts w:ascii="Garamond" w:hAnsi="Garamond" w:cs="Times New Roman"/>
          <w:i/>
          <w:sz w:val="20"/>
          <w:szCs w:val="20"/>
          <w:lang w:val="en-GB"/>
        </w:rPr>
        <w:t>Fadeyeva v. Russia</w:t>
      </w:r>
      <w:r w:rsidRPr="00F94F4E">
        <w:rPr>
          <w:rFonts w:ascii="Garamond" w:hAnsi="Garamond" w:cs="Times New Roman"/>
          <w:sz w:val="20"/>
          <w:szCs w:val="20"/>
          <w:lang w:val="en-GB"/>
        </w:rPr>
        <w:t xml:space="preserve">, §89; </w:t>
      </w:r>
      <w:r w:rsidRPr="00F94F4E">
        <w:rPr>
          <w:rFonts w:ascii="Garamond" w:hAnsi="Garamond"/>
          <w:i/>
          <w:iCs/>
          <w:sz w:val="20"/>
          <w:szCs w:val="20"/>
          <w:lang w:val="en-GB"/>
        </w:rPr>
        <w:t>Ledyayeva</w:t>
      </w:r>
      <w:r w:rsidRPr="00F94F4E">
        <w:rPr>
          <w:rFonts w:ascii="Garamond" w:hAnsi="Garamond" w:cs="Times New Roman"/>
          <w:sz w:val="20"/>
          <w:szCs w:val="20"/>
          <w:lang w:val="en-GB"/>
        </w:rPr>
        <w:t xml:space="preserve">, §101; </w:t>
      </w:r>
      <w:r w:rsidRPr="00F94F4E">
        <w:rPr>
          <w:rFonts w:ascii="Garamond" w:hAnsi="Garamond" w:cs="Times New Roman"/>
          <w:i/>
          <w:sz w:val="20"/>
          <w:szCs w:val="20"/>
          <w:lang w:val="en-GB"/>
        </w:rPr>
        <w:t>Powell and Rayner v. United Kingdom</w:t>
      </w:r>
      <w:r w:rsidRPr="00F94F4E">
        <w:rPr>
          <w:rFonts w:ascii="Garamond" w:hAnsi="Garamond" w:cs="Times New Roman"/>
          <w:sz w:val="20"/>
          <w:szCs w:val="20"/>
          <w:lang w:val="en-GB"/>
        </w:rPr>
        <w:t xml:space="preserve">, app. no. 9310/81, 21 February 1990, §41, and </w:t>
      </w:r>
      <w:r w:rsidRPr="00F94F4E">
        <w:rPr>
          <w:rFonts w:ascii="Garamond" w:hAnsi="Garamond" w:cs="Times New Roman"/>
          <w:i/>
          <w:sz w:val="20"/>
          <w:szCs w:val="20"/>
          <w:lang w:val="en-GB"/>
        </w:rPr>
        <w:t>Guerra and Others v Italy</w:t>
      </w:r>
      <w:r w:rsidRPr="00F94F4E">
        <w:rPr>
          <w:rFonts w:ascii="Garamond" w:hAnsi="Garamond" w:cs="Times New Roman"/>
          <w:sz w:val="20"/>
          <w:szCs w:val="20"/>
          <w:lang w:val="en-GB"/>
        </w:rPr>
        <w:t>, §58.</w:t>
      </w:r>
    </w:p>
  </w:footnote>
  <w:footnote w:id="128">
    <w:p w14:paraId="6626A248" w14:textId="77777777" w:rsidR="008D4DEB" w:rsidRPr="00F94F4E" w:rsidRDefault="008D4DEB" w:rsidP="008D4DEB">
      <w:pPr>
        <w:autoSpaceDE w:val="0"/>
        <w:adjustRightInd w:val="0"/>
        <w:jc w:val="both"/>
        <w:rPr>
          <w:rFonts w:ascii="Garamond" w:eastAsia="TimesNewRomanPSMT" w:hAnsi="Garamond"/>
          <w:color w:val="050707"/>
          <w:sz w:val="20"/>
          <w:szCs w:val="20"/>
          <w:lang w:val="en-GB"/>
        </w:rPr>
      </w:pPr>
      <w:r w:rsidRPr="00F94F4E">
        <w:rPr>
          <w:rStyle w:val="Appelnotedebasdep"/>
          <w:rFonts w:ascii="Garamond" w:hAnsi="Garamond"/>
          <w:sz w:val="20"/>
          <w:szCs w:val="20"/>
          <w:lang w:val="en-GB"/>
        </w:rPr>
        <w:footnoteRef/>
      </w:r>
      <w:r w:rsidRPr="00F94F4E">
        <w:rPr>
          <w:rFonts w:ascii="Garamond" w:hAnsi="Garamond"/>
          <w:sz w:val="20"/>
          <w:szCs w:val="20"/>
          <w:lang w:val="en-GB"/>
        </w:rPr>
        <w:t xml:space="preserve"> </w:t>
      </w:r>
      <w:r w:rsidRPr="00F94F4E">
        <w:rPr>
          <w:rFonts w:ascii="Garamond" w:eastAsia="TimesNewRomanPSMT" w:hAnsi="Garamond"/>
          <w:color w:val="050707"/>
          <w:sz w:val="20"/>
          <w:szCs w:val="20"/>
          <w:lang w:val="en-GB"/>
        </w:rPr>
        <w:t xml:space="preserve">Art. 2 UNFCCC provides for an </w:t>
      </w:r>
      <w:r w:rsidRPr="00F94F4E">
        <w:rPr>
          <w:rFonts w:ascii="Garamond" w:eastAsia="TimesNewRomanPSMT" w:hAnsi="Garamond"/>
          <w:iCs/>
          <w:color w:val="050707"/>
          <w:sz w:val="20"/>
          <w:szCs w:val="20"/>
          <w:lang w:val="en-GB"/>
        </w:rPr>
        <w:t>“ultimate objective”</w:t>
      </w:r>
      <w:r w:rsidRPr="00F94F4E">
        <w:rPr>
          <w:rFonts w:ascii="Garamond" w:eastAsia="TimesNewRomanPSMT" w:hAnsi="Garamond"/>
          <w:color w:val="050707"/>
          <w:sz w:val="20"/>
          <w:szCs w:val="20"/>
          <w:lang w:val="en-GB"/>
        </w:rPr>
        <w:t xml:space="preserve"> of </w:t>
      </w:r>
      <w:r w:rsidRPr="00F94F4E">
        <w:rPr>
          <w:rFonts w:ascii="Garamond" w:eastAsia="TimesNewRomanPSMT" w:hAnsi="Garamond"/>
          <w:iCs/>
          <w:color w:val="050707"/>
          <w:sz w:val="20"/>
          <w:szCs w:val="20"/>
          <w:lang w:val="en-GB"/>
        </w:rPr>
        <w:t>“</w:t>
      </w:r>
      <w:r w:rsidRPr="00F94F4E">
        <w:rPr>
          <w:rFonts w:ascii="Garamond" w:eastAsia="TimesNewRomanPSMT" w:hAnsi="Garamond"/>
          <w:i/>
          <w:iCs/>
          <w:color w:val="050707"/>
          <w:sz w:val="20"/>
          <w:szCs w:val="20"/>
          <w:lang w:val="en-GB"/>
        </w:rPr>
        <w:t>stabilization of greenhouse gas concentrations in the atmosphere at a level that would prevent dangerous anthropogenic interference with the climate system</w:t>
      </w:r>
      <w:r w:rsidRPr="00F94F4E">
        <w:rPr>
          <w:rFonts w:ascii="Garamond" w:eastAsia="TimesNewRomanPSMT" w:hAnsi="Garamond"/>
          <w:iCs/>
          <w:color w:val="050707"/>
          <w:sz w:val="20"/>
          <w:szCs w:val="20"/>
          <w:lang w:val="en-GB"/>
        </w:rPr>
        <w:t>”</w:t>
      </w:r>
      <w:r w:rsidRPr="00F94F4E">
        <w:rPr>
          <w:rFonts w:ascii="Garamond" w:eastAsia="TimesNewRomanPSMT" w:hAnsi="Garamond"/>
          <w:color w:val="050707"/>
          <w:sz w:val="20"/>
          <w:szCs w:val="20"/>
          <w:lang w:val="en-GB"/>
        </w:rPr>
        <w:t xml:space="preserve">. It recognises that </w:t>
      </w:r>
      <w:r w:rsidRPr="00F94F4E">
        <w:rPr>
          <w:rFonts w:ascii="Garamond" w:eastAsia="TimesNewRomanPSMT" w:hAnsi="Garamond"/>
          <w:iCs/>
          <w:color w:val="050707"/>
          <w:sz w:val="20"/>
          <w:szCs w:val="20"/>
          <w:lang w:val="en-GB"/>
        </w:rPr>
        <w:t>“[s]</w:t>
      </w:r>
      <w:r w:rsidRPr="00F94F4E">
        <w:rPr>
          <w:rFonts w:ascii="Garamond" w:eastAsia="TimesNewRomanPSMT" w:hAnsi="Garamond"/>
          <w:i/>
          <w:iCs/>
          <w:color w:val="050707"/>
          <w:sz w:val="20"/>
          <w:szCs w:val="20"/>
          <w:lang w:val="en-GB"/>
        </w:rPr>
        <w:t>uch a level should be achieved within a time frame sufficient to allow ecosystems to adapt naturally to climate change, to ensure that food production is not threatened and to enable economic development to proceed in a sustainable manner</w:t>
      </w:r>
      <w:r w:rsidRPr="00F94F4E">
        <w:rPr>
          <w:rFonts w:ascii="Garamond" w:eastAsia="TimesNewRomanPSMT" w:hAnsi="Garamond"/>
          <w:iCs/>
          <w:color w:val="050707"/>
          <w:sz w:val="20"/>
          <w:szCs w:val="20"/>
          <w:lang w:val="en-GB"/>
        </w:rPr>
        <w:t>”.</w:t>
      </w:r>
      <w:r w:rsidRPr="00F94F4E">
        <w:rPr>
          <w:rFonts w:ascii="Garamond" w:eastAsia="TimesNewRomanPSMT" w:hAnsi="Garamond"/>
          <w:color w:val="050707"/>
          <w:sz w:val="20"/>
          <w:szCs w:val="20"/>
          <w:lang w:val="en-GB"/>
        </w:rPr>
        <w:t xml:space="preserve"> Art. 4(2)(a) provides that State Parties </w:t>
      </w:r>
      <w:r w:rsidRPr="00F94F4E">
        <w:rPr>
          <w:rFonts w:ascii="Garamond" w:eastAsia="TimesNewRomanPSMT" w:hAnsi="Garamond"/>
          <w:iCs/>
          <w:color w:val="050707"/>
          <w:sz w:val="20"/>
          <w:szCs w:val="20"/>
          <w:lang w:val="en-GB"/>
        </w:rPr>
        <w:t>“</w:t>
      </w:r>
      <w:r w:rsidRPr="00F94F4E">
        <w:rPr>
          <w:rFonts w:ascii="Garamond" w:eastAsia="TimesNewRomanPSMT" w:hAnsi="Garamond"/>
          <w:i/>
          <w:iCs/>
          <w:color w:val="050707"/>
          <w:sz w:val="20"/>
          <w:szCs w:val="20"/>
          <w:lang w:val="en-GB"/>
        </w:rPr>
        <w:t>shall adopt national policies and take corresponding measures on the mitigation of climate change, by limiting its anthropogenic emissions of greenhouse gases and protecting and enhancing its greenhouse gas sinks and reservoirs</w:t>
      </w:r>
      <w:r w:rsidRPr="00F94F4E">
        <w:rPr>
          <w:rFonts w:ascii="Garamond" w:eastAsia="TimesNewRomanPSMT" w:hAnsi="Garamond"/>
          <w:iCs/>
          <w:color w:val="050707"/>
          <w:sz w:val="20"/>
          <w:szCs w:val="20"/>
          <w:lang w:val="en-GB"/>
        </w:rPr>
        <w:t>.”</w:t>
      </w:r>
    </w:p>
  </w:footnote>
  <w:footnote w:id="129">
    <w:p w14:paraId="732CA0B0" w14:textId="77777777" w:rsidR="008D4DEB" w:rsidRPr="00F94F4E" w:rsidRDefault="008D4DEB" w:rsidP="008D4DEB">
      <w:pPr>
        <w:autoSpaceDE w:val="0"/>
        <w:adjustRightInd w:val="0"/>
        <w:jc w:val="both"/>
        <w:rPr>
          <w:rFonts w:ascii="Garamond" w:hAnsi="Garamond"/>
          <w:iCs/>
          <w:sz w:val="20"/>
          <w:szCs w:val="20"/>
          <w:lang w:val="en-GB"/>
        </w:rPr>
      </w:pPr>
      <w:r w:rsidRPr="00F94F4E">
        <w:rPr>
          <w:rStyle w:val="Appelnotedebasdep"/>
          <w:rFonts w:ascii="Garamond" w:hAnsi="Garamond"/>
          <w:sz w:val="20"/>
          <w:szCs w:val="20"/>
          <w:lang w:val="en-GB"/>
        </w:rPr>
        <w:footnoteRef/>
      </w:r>
      <w:r w:rsidRPr="00F94F4E">
        <w:rPr>
          <w:rFonts w:ascii="Garamond" w:hAnsi="Garamond"/>
          <w:sz w:val="20"/>
          <w:szCs w:val="20"/>
          <w:lang w:val="en-GB"/>
        </w:rPr>
        <w:t xml:space="preserve"> Art. 2(1)(a) provides that it enhances the implementation of the objective of the UNFCCC by stating the temperature goals referred to in §5 of the Application. Article 4(1) provides that in order to achieve the LTTG set out in Article 2(1), </w:t>
      </w:r>
      <w:r w:rsidRPr="00F94F4E">
        <w:rPr>
          <w:rFonts w:ascii="Garamond" w:eastAsia="TimesNewRomanPSMT" w:hAnsi="Garamond"/>
          <w:iCs/>
          <w:sz w:val="20"/>
          <w:szCs w:val="20"/>
          <w:lang w:val="en-GB"/>
        </w:rPr>
        <w:t>“</w:t>
      </w:r>
      <w:r w:rsidRPr="00F94F4E">
        <w:rPr>
          <w:rFonts w:ascii="Garamond" w:hAnsi="Garamond"/>
          <w:i/>
          <w:iCs/>
          <w:sz w:val="20"/>
          <w:szCs w:val="20"/>
          <w:lang w:val="en-GB"/>
        </w:rPr>
        <w:t xml:space="preserve">Parties aim to reach global peaking of greenhouse gas emissions as soon as </w:t>
      </w:r>
      <w:r w:rsidRPr="00F94F4E">
        <w:rPr>
          <w:rFonts w:ascii="Garamond" w:eastAsia="TimesNewRomanPSMT" w:hAnsi="Garamond"/>
          <w:i/>
          <w:iCs/>
          <w:sz w:val="20"/>
          <w:szCs w:val="20"/>
          <w:lang w:val="en-GB"/>
        </w:rPr>
        <w:t>possible […] and to under</w:t>
      </w:r>
      <w:r w:rsidRPr="00F94F4E">
        <w:rPr>
          <w:rFonts w:ascii="Garamond" w:hAnsi="Garamond"/>
          <w:i/>
          <w:iCs/>
          <w:sz w:val="20"/>
          <w:szCs w:val="20"/>
          <w:lang w:val="en-GB"/>
        </w:rPr>
        <w:t xml:space="preserve">take rapid reductions thereafter in accordance with best </w:t>
      </w:r>
      <w:r w:rsidRPr="00F94F4E">
        <w:rPr>
          <w:rFonts w:ascii="Garamond" w:eastAsia="TimesNewRomanPSMT" w:hAnsi="Garamond"/>
          <w:i/>
          <w:iCs/>
          <w:sz w:val="20"/>
          <w:szCs w:val="20"/>
          <w:lang w:val="en-GB"/>
        </w:rPr>
        <w:t>available climate science […] and in the context of sustainable development</w:t>
      </w:r>
      <w:r w:rsidRPr="00F94F4E">
        <w:rPr>
          <w:rFonts w:ascii="Garamond" w:eastAsia="TimesNewRomanPSMT" w:hAnsi="Garamond"/>
          <w:iCs/>
          <w:sz w:val="20"/>
          <w:szCs w:val="20"/>
          <w:lang w:val="en-GB"/>
        </w:rPr>
        <w:t>”</w:t>
      </w:r>
      <w:r w:rsidRPr="00F94F4E">
        <w:rPr>
          <w:rFonts w:ascii="Garamond" w:hAnsi="Garamond"/>
          <w:iCs/>
          <w:sz w:val="20"/>
          <w:szCs w:val="20"/>
          <w:lang w:val="en-GB"/>
        </w:rPr>
        <w:t>.</w:t>
      </w:r>
    </w:p>
  </w:footnote>
  <w:footnote w:id="130">
    <w:p w14:paraId="121D6C70" w14:textId="77777777" w:rsidR="008D4DEB" w:rsidRPr="00F94F4E" w:rsidRDefault="008D4DEB" w:rsidP="008D4DEB">
      <w:pPr>
        <w:autoSpaceDE w:val="0"/>
        <w:adjustRightInd w:val="0"/>
        <w:jc w:val="both"/>
        <w:rPr>
          <w:rFonts w:ascii="Garamond" w:hAnsi="Garamond"/>
          <w:iCs/>
          <w:sz w:val="20"/>
          <w:szCs w:val="20"/>
          <w:lang w:val="en-GB"/>
        </w:rPr>
      </w:pPr>
      <w:r w:rsidRPr="00F94F4E">
        <w:rPr>
          <w:rStyle w:val="Appelnotedebasdep"/>
          <w:rFonts w:ascii="Garamond" w:hAnsi="Garamond"/>
          <w:sz w:val="20"/>
          <w:szCs w:val="20"/>
          <w:lang w:val="en-GB"/>
        </w:rPr>
        <w:footnoteRef/>
      </w:r>
      <w:r w:rsidRPr="00F94F4E">
        <w:rPr>
          <w:rFonts w:ascii="Garamond" w:hAnsi="Garamond"/>
          <w:sz w:val="20"/>
          <w:szCs w:val="20"/>
          <w:lang w:val="en-GB"/>
        </w:rPr>
        <w:t xml:space="preserve"> </w:t>
      </w:r>
      <w:r w:rsidRPr="00F94F4E">
        <w:rPr>
          <w:rFonts w:ascii="Garamond" w:hAnsi="Garamond"/>
          <w:i/>
          <w:iCs/>
          <w:sz w:val="20"/>
          <w:szCs w:val="20"/>
          <w:lang w:val="en-GB"/>
        </w:rPr>
        <w:t>Tătar</w:t>
      </w:r>
      <w:r w:rsidRPr="00F94F4E">
        <w:rPr>
          <w:rFonts w:ascii="Garamond" w:hAnsi="Garamond"/>
          <w:iCs/>
          <w:sz w:val="20"/>
          <w:szCs w:val="20"/>
          <w:lang w:val="en-GB"/>
        </w:rPr>
        <w:t xml:space="preserve">, </w:t>
      </w:r>
      <w:r w:rsidRPr="00F94F4E">
        <w:rPr>
          <w:rFonts w:ascii="Garamond" w:hAnsi="Garamond"/>
          <w:sz w:val="20"/>
          <w:szCs w:val="20"/>
          <w:lang w:val="en-GB"/>
        </w:rPr>
        <w:t xml:space="preserve">§§109 and 120; Principle 15 of the 1992 Rio Declaration; </w:t>
      </w:r>
      <w:r w:rsidRPr="00F94F4E">
        <w:rPr>
          <w:rFonts w:ascii="Garamond" w:hAnsi="Garamond"/>
          <w:iCs/>
          <w:sz w:val="20"/>
          <w:szCs w:val="20"/>
          <w:lang w:val="en-GB"/>
        </w:rPr>
        <w:t>Responsibilities and Obligations of States with respect to Activities in the Area</w:t>
      </w:r>
      <w:r w:rsidRPr="00F94F4E">
        <w:rPr>
          <w:rFonts w:ascii="Garamond" w:hAnsi="Garamond"/>
          <w:sz w:val="20"/>
          <w:szCs w:val="20"/>
          <w:lang w:val="en-GB"/>
        </w:rPr>
        <w:t>, Advisory Opinion, 1 February 2011, ITLOS Reports 2011, p 10, §135; WTO,</w:t>
      </w:r>
      <w:r w:rsidRPr="00F94F4E">
        <w:rPr>
          <w:rFonts w:ascii="Garamond" w:hAnsi="Garamond"/>
          <w:iCs/>
          <w:sz w:val="20"/>
          <w:szCs w:val="20"/>
          <w:lang w:val="en-GB"/>
        </w:rPr>
        <w:t xml:space="preserve"> Report of the Appellate Body,</w:t>
      </w:r>
      <w:r w:rsidRPr="00F94F4E">
        <w:rPr>
          <w:rFonts w:ascii="Garamond" w:hAnsi="Garamond"/>
          <w:sz w:val="20"/>
          <w:szCs w:val="20"/>
          <w:lang w:val="en-GB"/>
        </w:rPr>
        <w:t xml:space="preserve"> </w:t>
      </w:r>
      <w:r w:rsidRPr="00F94F4E">
        <w:rPr>
          <w:rFonts w:ascii="Garamond" w:hAnsi="Garamond"/>
          <w:i/>
          <w:iCs/>
          <w:sz w:val="20"/>
          <w:szCs w:val="20"/>
          <w:lang w:val="en-GB"/>
        </w:rPr>
        <w:t>European Communities</w:t>
      </w:r>
      <w:r w:rsidRPr="00F94F4E">
        <w:rPr>
          <w:rFonts w:ascii="Garamond" w:eastAsia="TimesNewRomanPS-ItalicMT" w:hAnsi="Garamond"/>
          <w:i/>
          <w:iCs/>
          <w:sz w:val="20"/>
          <w:szCs w:val="20"/>
          <w:lang w:val="en-GB"/>
        </w:rPr>
        <w:t xml:space="preserve"> – </w:t>
      </w:r>
      <w:r w:rsidRPr="00F94F4E">
        <w:rPr>
          <w:rFonts w:ascii="Garamond" w:hAnsi="Garamond"/>
          <w:i/>
          <w:iCs/>
          <w:sz w:val="20"/>
          <w:szCs w:val="20"/>
          <w:lang w:val="en-GB"/>
        </w:rPr>
        <w:t>Measures Concerning Meat and Meat Products (Hormones)</w:t>
      </w:r>
      <w:r w:rsidRPr="00F94F4E">
        <w:rPr>
          <w:rFonts w:ascii="Garamond" w:eastAsia="TimesNewRomanPS-ItalicMT" w:hAnsi="Garamond"/>
          <w:iCs/>
          <w:sz w:val="20"/>
          <w:szCs w:val="20"/>
          <w:lang w:val="en-GB"/>
        </w:rPr>
        <w:t xml:space="preserve"> </w:t>
      </w:r>
      <w:r w:rsidRPr="00F94F4E">
        <w:rPr>
          <w:rFonts w:ascii="Garamond" w:hAnsi="Garamond"/>
          <w:sz w:val="20"/>
          <w:szCs w:val="20"/>
          <w:lang w:val="en-GB"/>
        </w:rPr>
        <w:t>(16 January 1998) WT/DS26/AB/R and WT/DS48/AB/R</w:t>
      </w:r>
      <w:r w:rsidRPr="00F94F4E">
        <w:rPr>
          <w:rFonts w:ascii="Garamond" w:eastAsia="TimesNewRomanPSMT" w:hAnsi="Garamond"/>
          <w:sz w:val="20"/>
          <w:szCs w:val="20"/>
          <w:lang w:val="en-GB"/>
        </w:rPr>
        <w:t>, §16.</w:t>
      </w:r>
    </w:p>
  </w:footnote>
  <w:footnote w:id="131">
    <w:p w14:paraId="0DD5B8C4" w14:textId="77777777" w:rsidR="008D4DEB" w:rsidRPr="00F94F4E" w:rsidRDefault="008D4DEB" w:rsidP="008D4DEB">
      <w:pPr>
        <w:autoSpaceDE w:val="0"/>
        <w:adjustRightInd w:val="0"/>
        <w:jc w:val="both"/>
        <w:rPr>
          <w:rFonts w:ascii="Garamond" w:hAnsi="Garamond"/>
          <w:sz w:val="20"/>
          <w:szCs w:val="20"/>
          <w:lang w:val="en-GB"/>
        </w:rPr>
      </w:pPr>
      <w:r w:rsidRPr="00F94F4E">
        <w:rPr>
          <w:rStyle w:val="Appelnotedebasdep"/>
          <w:rFonts w:ascii="Garamond" w:hAnsi="Garamond"/>
          <w:sz w:val="20"/>
          <w:szCs w:val="20"/>
          <w:lang w:val="en-GB"/>
        </w:rPr>
        <w:footnoteRef/>
      </w:r>
      <w:r w:rsidRPr="00F94F4E">
        <w:rPr>
          <w:rFonts w:ascii="Garamond" w:hAnsi="Garamond"/>
          <w:sz w:val="20"/>
          <w:szCs w:val="20"/>
          <w:lang w:val="en-GB"/>
        </w:rPr>
        <w:t xml:space="preserve"> </w:t>
      </w:r>
      <w:r w:rsidRPr="00F94F4E">
        <w:rPr>
          <w:rFonts w:ascii="Garamond" w:eastAsia="TimesNewRomanPSMT" w:hAnsi="Garamond"/>
          <w:sz w:val="20"/>
          <w:szCs w:val="20"/>
          <w:lang w:val="en-GB"/>
        </w:rPr>
        <w:t xml:space="preserve">Philippe Sands and Jacqueline Peel, </w:t>
      </w:r>
      <w:r w:rsidRPr="00F94F4E">
        <w:rPr>
          <w:rFonts w:ascii="Garamond" w:eastAsia="TimesNewRomanPSMT" w:hAnsi="Garamond"/>
          <w:i/>
          <w:iCs/>
          <w:sz w:val="20"/>
          <w:szCs w:val="20"/>
          <w:lang w:val="en-GB"/>
        </w:rPr>
        <w:t>Principles of International Environmental Law</w:t>
      </w:r>
      <w:r w:rsidRPr="00F94F4E">
        <w:rPr>
          <w:rFonts w:ascii="Garamond" w:eastAsia="TimesNewRomanPSMT" w:hAnsi="Garamond"/>
          <w:iCs/>
          <w:sz w:val="20"/>
          <w:szCs w:val="20"/>
          <w:lang w:val="en-GB"/>
        </w:rPr>
        <w:t xml:space="preserve"> </w:t>
      </w:r>
      <w:r w:rsidRPr="00F94F4E">
        <w:rPr>
          <w:rFonts w:ascii="Garamond" w:eastAsia="TimesNewRomanPSMT" w:hAnsi="Garamond"/>
          <w:sz w:val="20"/>
          <w:szCs w:val="20"/>
          <w:lang w:val="en-GB"/>
        </w:rPr>
        <w:t xml:space="preserve">(4th edn, CUP 2018), 218-219. See also: </w:t>
      </w:r>
      <w:r w:rsidRPr="00F94F4E">
        <w:rPr>
          <w:rFonts w:ascii="Garamond" w:hAnsi="Garamond"/>
          <w:i/>
          <w:iCs/>
          <w:sz w:val="20"/>
          <w:szCs w:val="20"/>
          <w:lang w:val="en-GB"/>
        </w:rPr>
        <w:t>Legality of the Threat of the Use of Nuclear Weapons</w:t>
      </w:r>
      <w:r w:rsidRPr="00F94F4E">
        <w:rPr>
          <w:rFonts w:ascii="Garamond" w:hAnsi="Garamond"/>
          <w:iCs/>
          <w:sz w:val="20"/>
          <w:szCs w:val="20"/>
          <w:lang w:val="en-GB"/>
        </w:rPr>
        <w:t xml:space="preserve"> </w:t>
      </w:r>
      <w:r w:rsidRPr="00F94F4E">
        <w:rPr>
          <w:rFonts w:ascii="Garamond" w:hAnsi="Garamond"/>
          <w:sz w:val="20"/>
          <w:szCs w:val="20"/>
          <w:lang w:val="en-GB"/>
        </w:rPr>
        <w:t xml:space="preserve">(Advisory Opinion) [1996] ICJ Rep 226, §§29, 35; </w:t>
      </w:r>
      <w:r w:rsidRPr="00F94F4E">
        <w:rPr>
          <w:rFonts w:ascii="Garamond" w:hAnsi="Garamond"/>
          <w:iCs/>
          <w:sz w:val="20"/>
          <w:szCs w:val="20"/>
          <w:lang w:val="en-GB"/>
        </w:rPr>
        <w:t>Request for Advisory Opinion submitted by the Sub-Regional Fisheries Commission</w:t>
      </w:r>
      <w:r w:rsidRPr="00F94F4E">
        <w:rPr>
          <w:rFonts w:ascii="Garamond" w:hAnsi="Garamond"/>
          <w:sz w:val="20"/>
          <w:szCs w:val="20"/>
          <w:lang w:val="en-GB"/>
        </w:rPr>
        <w:t>, Advisory Opinion, 2 April 2015, ITLOS Reports 2015, p 4</w:t>
      </w:r>
      <w:r w:rsidRPr="00F94F4E">
        <w:rPr>
          <w:rFonts w:ascii="Garamond" w:eastAsia="TimesNewRomanPSMT" w:hAnsi="Garamond"/>
          <w:sz w:val="20"/>
          <w:szCs w:val="20"/>
          <w:lang w:val="en-GB"/>
        </w:rPr>
        <w:t>, §190.</w:t>
      </w:r>
    </w:p>
  </w:footnote>
  <w:footnote w:id="132">
    <w:p w14:paraId="5B1DF3E5" w14:textId="77777777" w:rsidR="008D4DEB" w:rsidRPr="00F94F4E" w:rsidRDefault="008D4DEB" w:rsidP="008D4DEB">
      <w:pPr>
        <w:autoSpaceDE w:val="0"/>
        <w:adjustRightInd w:val="0"/>
        <w:jc w:val="both"/>
        <w:rPr>
          <w:rFonts w:ascii="Garamond" w:hAnsi="Garamond"/>
          <w:sz w:val="20"/>
          <w:szCs w:val="20"/>
          <w:lang w:val="en-GB"/>
        </w:rPr>
      </w:pPr>
      <w:r w:rsidRPr="00F94F4E">
        <w:rPr>
          <w:rStyle w:val="Appelnotedebasdep"/>
          <w:rFonts w:ascii="Garamond" w:hAnsi="Garamond"/>
          <w:sz w:val="20"/>
          <w:szCs w:val="20"/>
          <w:lang w:val="en-GB"/>
        </w:rPr>
        <w:footnoteRef/>
      </w:r>
      <w:r w:rsidRPr="00F94F4E">
        <w:rPr>
          <w:rFonts w:ascii="Garamond" w:hAnsi="Garamond"/>
          <w:sz w:val="20"/>
          <w:szCs w:val="20"/>
          <w:lang w:val="en-GB"/>
        </w:rPr>
        <w:t xml:space="preserve"> Principle 2 of the 1992 Rio Declaration; </w:t>
      </w:r>
      <w:r w:rsidRPr="00F94F4E">
        <w:rPr>
          <w:rFonts w:ascii="Garamond" w:hAnsi="Garamond"/>
          <w:iCs/>
          <w:sz w:val="20"/>
          <w:szCs w:val="20"/>
          <w:lang w:val="en-GB"/>
        </w:rPr>
        <w:t xml:space="preserve">Legality of the Threat of the Use of Nuclear Weapons </w:t>
      </w:r>
      <w:r w:rsidRPr="00F94F4E">
        <w:rPr>
          <w:rFonts w:ascii="Garamond" w:hAnsi="Garamond"/>
          <w:sz w:val="20"/>
          <w:szCs w:val="20"/>
          <w:lang w:val="en-GB"/>
        </w:rPr>
        <w:t xml:space="preserve">(Advisory Opinion) [1996] ICJ Rep 226, §29; </w:t>
      </w:r>
      <w:r w:rsidRPr="00F94F4E">
        <w:rPr>
          <w:rFonts w:ascii="Garamond" w:hAnsi="Garamond"/>
          <w:i/>
          <w:iCs/>
          <w:sz w:val="20"/>
          <w:szCs w:val="20"/>
          <w:lang w:val="en-GB"/>
        </w:rPr>
        <w:t>Pulp Mills on the River Uruguay (Argentina v Uruguay)</w:t>
      </w:r>
      <w:r w:rsidRPr="00F94F4E">
        <w:rPr>
          <w:rFonts w:ascii="Garamond" w:hAnsi="Garamond"/>
          <w:iCs/>
          <w:sz w:val="20"/>
          <w:szCs w:val="20"/>
          <w:lang w:val="en-GB"/>
        </w:rPr>
        <w:t xml:space="preserve"> </w:t>
      </w:r>
      <w:r w:rsidRPr="00F94F4E">
        <w:rPr>
          <w:rFonts w:ascii="Garamond" w:hAnsi="Garamond"/>
          <w:sz w:val="20"/>
          <w:szCs w:val="20"/>
          <w:lang w:val="en-GB"/>
        </w:rPr>
        <w:t xml:space="preserve">(Judgment) [2010] ICJ Rep 14, §101; </w:t>
      </w:r>
      <w:r w:rsidRPr="00F94F4E">
        <w:rPr>
          <w:rFonts w:ascii="Garamond" w:hAnsi="Garamond" w:cs="Times New Roman"/>
          <w:sz w:val="20"/>
          <w:szCs w:val="20"/>
          <w:lang w:val="en-GB"/>
        </w:rPr>
        <w:t>UNHRC, General Comment 36, UN Doc CCPR/C/GC/36.</w:t>
      </w:r>
    </w:p>
  </w:footnote>
  <w:footnote w:id="133">
    <w:p w14:paraId="272276FA"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lang w:val="en-GB"/>
        </w:rPr>
        <w:footnoteRef/>
      </w:r>
      <w:r w:rsidRPr="00F94F4E">
        <w:rPr>
          <w:rFonts w:ascii="Garamond" w:hAnsi="Garamond" w:cs="Times New Roman"/>
          <w:lang w:val="en-GB"/>
        </w:rPr>
        <w:t xml:space="preserve"> The Climate Action Tracker provides an appropriate and reasonable measure of the fair share of a State’s territorial emissions reductions for this purpose.</w:t>
      </w:r>
    </w:p>
  </w:footnote>
  <w:footnote w:id="134">
    <w:p w14:paraId="703B260A" w14:textId="77777777" w:rsidR="008D4DEB" w:rsidRPr="00F94F4E" w:rsidRDefault="008D4DEB" w:rsidP="008D4DEB">
      <w:pPr>
        <w:autoSpaceDE w:val="0"/>
        <w:adjustRightInd w:val="0"/>
        <w:jc w:val="both"/>
        <w:rPr>
          <w:rFonts w:ascii="Garamond" w:hAnsi="Garamond"/>
          <w:iCs/>
          <w:sz w:val="20"/>
          <w:szCs w:val="20"/>
          <w:lang w:val="en-GB"/>
        </w:rPr>
      </w:pPr>
      <w:r w:rsidRPr="00F94F4E">
        <w:rPr>
          <w:rStyle w:val="Appelnotedebasdep"/>
          <w:rFonts w:ascii="Garamond" w:hAnsi="Garamond"/>
          <w:sz w:val="20"/>
          <w:szCs w:val="20"/>
          <w:lang w:val="en-GB"/>
        </w:rPr>
        <w:footnoteRef/>
      </w:r>
      <w:r w:rsidRPr="00F94F4E">
        <w:rPr>
          <w:rFonts w:ascii="Garamond" w:hAnsi="Garamond"/>
          <w:sz w:val="20"/>
          <w:szCs w:val="20"/>
          <w:lang w:val="en-GB"/>
        </w:rPr>
        <w:t xml:space="preserve"> </w:t>
      </w:r>
      <w:r w:rsidRPr="00F94F4E">
        <w:rPr>
          <w:rFonts w:ascii="Garamond" w:hAnsi="Garamond"/>
          <w:i/>
          <w:iCs/>
          <w:sz w:val="20"/>
          <w:szCs w:val="20"/>
          <w:lang w:val="en-GB"/>
        </w:rPr>
        <w:t>Moreno Gómez</w:t>
      </w:r>
      <w:r w:rsidRPr="00F94F4E">
        <w:rPr>
          <w:rFonts w:ascii="Garamond" w:hAnsi="Garamond"/>
          <w:sz w:val="20"/>
          <w:szCs w:val="20"/>
          <w:lang w:val="en-GB"/>
        </w:rPr>
        <w:t xml:space="preserve">, §60; </w:t>
      </w:r>
      <w:r w:rsidRPr="00F94F4E">
        <w:rPr>
          <w:rFonts w:ascii="Garamond" w:hAnsi="Garamond"/>
          <w:i/>
          <w:iCs/>
          <w:sz w:val="20"/>
          <w:szCs w:val="20"/>
          <w:lang w:val="en-GB"/>
        </w:rPr>
        <w:t>Budayeva</w:t>
      </w:r>
      <w:r w:rsidRPr="00F94F4E">
        <w:rPr>
          <w:rFonts w:ascii="Garamond" w:hAnsi="Garamond"/>
          <w:sz w:val="20"/>
          <w:szCs w:val="20"/>
          <w:lang w:val="en-GB"/>
        </w:rPr>
        <w:t xml:space="preserve">, §175; </w:t>
      </w:r>
      <w:r w:rsidRPr="00F94F4E">
        <w:rPr>
          <w:rFonts w:ascii="Garamond" w:eastAsia="Calibri" w:hAnsi="Garamond" w:cs="Times New Roman"/>
          <w:i/>
          <w:iCs/>
          <w:sz w:val="20"/>
          <w:szCs w:val="20"/>
          <w:lang w:val="en-GB"/>
        </w:rPr>
        <w:t>Jugheli and Others v. Georgia</w:t>
      </w:r>
      <w:r w:rsidRPr="00F94F4E">
        <w:rPr>
          <w:rFonts w:ascii="Garamond" w:hAnsi="Garamond"/>
          <w:sz w:val="20"/>
          <w:szCs w:val="20"/>
          <w:lang w:val="en-GB"/>
        </w:rPr>
        <w:t xml:space="preserve">, §77; </w:t>
      </w:r>
      <w:r w:rsidRPr="00F94F4E">
        <w:rPr>
          <w:rFonts w:ascii="Garamond" w:hAnsi="Garamond"/>
          <w:i/>
          <w:iCs/>
          <w:sz w:val="20"/>
          <w:szCs w:val="20"/>
          <w:lang w:val="en-GB"/>
        </w:rPr>
        <w:t>Yevgeniy Dmitriyev v Russia</w:t>
      </w:r>
      <w:r w:rsidRPr="00F94F4E">
        <w:rPr>
          <w:rFonts w:ascii="Garamond" w:hAnsi="Garamond"/>
          <w:iCs/>
          <w:sz w:val="20"/>
          <w:szCs w:val="20"/>
          <w:lang w:val="en-GB"/>
        </w:rPr>
        <w:t>, a</w:t>
      </w:r>
      <w:r w:rsidRPr="00F94F4E">
        <w:rPr>
          <w:rFonts w:ascii="Garamond" w:hAnsi="Garamond"/>
          <w:sz w:val="20"/>
          <w:szCs w:val="20"/>
          <w:lang w:val="en-GB"/>
        </w:rPr>
        <w:t>pp. no. 17840/06, 1 December 2020, §55.</w:t>
      </w:r>
    </w:p>
  </w:footnote>
  <w:footnote w:id="135">
    <w:p w14:paraId="282F49F1"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lang w:val="en-GB"/>
        </w:rPr>
        <w:footnoteRef/>
      </w:r>
      <w:r w:rsidRPr="00F94F4E">
        <w:rPr>
          <w:rFonts w:ascii="Garamond" w:hAnsi="Garamond" w:cs="Times New Roman"/>
          <w:lang w:val="en-GB"/>
        </w:rPr>
        <w:t xml:space="preserve"> </w:t>
      </w:r>
      <w:r w:rsidRPr="00F94F4E">
        <w:rPr>
          <w:rFonts w:ascii="Garamond" w:hAnsi="Garamond" w:cs="Times New Roman"/>
          <w:i/>
          <w:iCs/>
          <w:lang w:val="en-GB"/>
        </w:rPr>
        <w:t>Buckley v. United Kingdom</w:t>
      </w:r>
      <w:r w:rsidRPr="00F94F4E">
        <w:rPr>
          <w:rFonts w:ascii="Garamond" w:hAnsi="Garamond" w:cs="Times New Roman"/>
          <w:iCs/>
          <w:lang w:val="en-GB"/>
        </w:rPr>
        <w:t xml:space="preserve">, </w:t>
      </w:r>
      <w:r w:rsidRPr="00F94F4E">
        <w:rPr>
          <w:rFonts w:ascii="Garamond" w:hAnsi="Garamond" w:cs="Times New Roman"/>
          <w:lang w:val="en-GB"/>
        </w:rPr>
        <w:t>app. no. 20348/92, 25 September 1996, §§74 and 76.</w:t>
      </w:r>
    </w:p>
  </w:footnote>
  <w:footnote w:id="136">
    <w:p w14:paraId="39346337" w14:textId="77777777" w:rsidR="008D4DEB" w:rsidRPr="00F94F4E" w:rsidRDefault="008D4DEB" w:rsidP="008D4DEB">
      <w:pPr>
        <w:autoSpaceDE w:val="0"/>
        <w:adjustRightInd w:val="0"/>
        <w:jc w:val="both"/>
        <w:rPr>
          <w:rFonts w:ascii="Garamond" w:hAnsi="Garamond"/>
          <w:sz w:val="20"/>
          <w:szCs w:val="20"/>
          <w:lang w:val="en-GB"/>
        </w:rPr>
      </w:pPr>
      <w:r w:rsidRPr="00F94F4E">
        <w:rPr>
          <w:rStyle w:val="Appelnotedebasdep"/>
          <w:rFonts w:ascii="Garamond" w:hAnsi="Garamond"/>
          <w:sz w:val="20"/>
          <w:szCs w:val="20"/>
          <w:lang w:val="en-GB"/>
        </w:rPr>
        <w:footnoteRef/>
      </w:r>
      <w:r w:rsidRPr="00F94F4E">
        <w:rPr>
          <w:rFonts w:ascii="Garamond" w:hAnsi="Garamond"/>
          <w:sz w:val="20"/>
          <w:szCs w:val="20"/>
          <w:lang w:val="en-GB"/>
        </w:rPr>
        <w:t xml:space="preserve"> </w:t>
      </w:r>
      <w:r w:rsidRPr="00F94F4E">
        <w:rPr>
          <w:rFonts w:ascii="Garamond" w:hAnsi="Garamond"/>
          <w:i/>
          <w:iCs/>
          <w:sz w:val="20"/>
          <w:szCs w:val="20"/>
          <w:lang w:val="en-GB"/>
        </w:rPr>
        <w:t>Ledyayeva</w:t>
      </w:r>
      <w:r w:rsidRPr="00F94F4E">
        <w:rPr>
          <w:rFonts w:ascii="Garamond" w:hAnsi="Garamond"/>
          <w:iCs/>
          <w:sz w:val="20"/>
          <w:szCs w:val="20"/>
          <w:lang w:val="en-GB"/>
        </w:rPr>
        <w:t>, §</w:t>
      </w:r>
      <w:r w:rsidRPr="00F94F4E">
        <w:rPr>
          <w:rFonts w:ascii="Garamond" w:hAnsi="Garamond"/>
          <w:sz w:val="20"/>
          <w:szCs w:val="20"/>
          <w:lang w:val="en-GB"/>
        </w:rPr>
        <w:t xml:space="preserve">101; </w:t>
      </w:r>
      <w:r w:rsidRPr="00F94F4E">
        <w:rPr>
          <w:rFonts w:ascii="Garamond" w:hAnsi="Garamond"/>
          <w:i/>
          <w:iCs/>
          <w:sz w:val="20"/>
          <w:szCs w:val="20"/>
          <w:lang w:val="en-GB"/>
        </w:rPr>
        <w:t>Dubetska</w:t>
      </w:r>
      <w:r w:rsidRPr="00F94F4E">
        <w:rPr>
          <w:rFonts w:ascii="Garamond" w:hAnsi="Garamond"/>
          <w:sz w:val="20"/>
          <w:szCs w:val="20"/>
          <w:lang w:val="en-GB"/>
        </w:rPr>
        <w:t>, §155.</w:t>
      </w:r>
    </w:p>
  </w:footnote>
  <w:footnote w:id="137">
    <w:p w14:paraId="29CF0575" w14:textId="77777777" w:rsidR="008D4DEB" w:rsidRPr="00F94F4E" w:rsidRDefault="008D4DEB" w:rsidP="008D4DEB">
      <w:pPr>
        <w:autoSpaceDE w:val="0"/>
        <w:adjustRightInd w:val="0"/>
        <w:jc w:val="both"/>
        <w:rPr>
          <w:rFonts w:ascii="Garamond" w:hAnsi="Garamond"/>
          <w:sz w:val="20"/>
          <w:szCs w:val="20"/>
          <w:lang w:val="en-GB"/>
        </w:rPr>
      </w:pPr>
      <w:r w:rsidRPr="00F94F4E">
        <w:rPr>
          <w:rStyle w:val="Appelnotedebasdep"/>
          <w:rFonts w:ascii="Garamond" w:hAnsi="Garamond"/>
          <w:sz w:val="20"/>
          <w:szCs w:val="20"/>
          <w:lang w:val="en-GB"/>
        </w:rPr>
        <w:footnoteRef/>
      </w:r>
      <w:r w:rsidRPr="00F94F4E">
        <w:rPr>
          <w:rFonts w:ascii="Garamond" w:hAnsi="Garamond"/>
          <w:sz w:val="20"/>
          <w:szCs w:val="20"/>
          <w:lang w:val="en-GB"/>
        </w:rPr>
        <w:t xml:space="preserve"> </w:t>
      </w:r>
      <w:r w:rsidRPr="00F94F4E">
        <w:rPr>
          <w:rFonts w:ascii="Garamond" w:hAnsi="Garamond"/>
          <w:i/>
          <w:iCs/>
          <w:sz w:val="20"/>
          <w:szCs w:val="20"/>
          <w:lang w:val="en-GB"/>
        </w:rPr>
        <w:t>Öneryildiz</w:t>
      </w:r>
      <w:r w:rsidRPr="00F94F4E">
        <w:rPr>
          <w:rFonts w:ascii="Garamond" w:hAnsi="Garamond"/>
          <w:sz w:val="20"/>
          <w:szCs w:val="20"/>
          <w:lang w:val="en-GB"/>
        </w:rPr>
        <w:t xml:space="preserve">, §101; </w:t>
      </w:r>
      <w:r w:rsidRPr="00F94F4E">
        <w:rPr>
          <w:rFonts w:ascii="Garamond" w:hAnsi="Garamond"/>
          <w:i/>
          <w:iCs/>
          <w:sz w:val="20"/>
          <w:szCs w:val="20"/>
          <w:lang w:val="en-GB"/>
        </w:rPr>
        <w:t>Budayeva</w:t>
      </w:r>
      <w:r w:rsidRPr="00F94F4E">
        <w:rPr>
          <w:rFonts w:ascii="Garamond" w:hAnsi="Garamond"/>
          <w:sz w:val="20"/>
          <w:szCs w:val="20"/>
          <w:lang w:val="en-GB"/>
        </w:rPr>
        <w:t xml:space="preserve">, §157; </w:t>
      </w:r>
      <w:r w:rsidRPr="00F94F4E">
        <w:rPr>
          <w:rFonts w:ascii="Garamond" w:eastAsia="TimesNewRomanPS-ItalicMT" w:hAnsi="Garamond"/>
          <w:i/>
          <w:iCs/>
          <w:sz w:val="20"/>
          <w:szCs w:val="20"/>
          <w:lang w:val="en-GB"/>
        </w:rPr>
        <w:t>Tătar</w:t>
      </w:r>
      <w:r w:rsidRPr="00F94F4E">
        <w:rPr>
          <w:rFonts w:ascii="Garamond" w:hAnsi="Garamond"/>
          <w:sz w:val="20"/>
          <w:szCs w:val="20"/>
          <w:lang w:val="en-GB"/>
        </w:rPr>
        <w:t xml:space="preserve">, §121; </w:t>
      </w:r>
      <w:r w:rsidRPr="00F94F4E">
        <w:rPr>
          <w:rFonts w:ascii="Garamond" w:eastAsia="TimesNewRomanPS-ItalicMT" w:hAnsi="Garamond"/>
          <w:i/>
          <w:iCs/>
          <w:sz w:val="20"/>
          <w:szCs w:val="20"/>
          <w:lang w:val="en-GB"/>
        </w:rPr>
        <w:t>Băcilă</w:t>
      </w:r>
      <w:r w:rsidRPr="00F94F4E">
        <w:rPr>
          <w:rFonts w:ascii="Garamond" w:eastAsia="TimesNewRomanPS-ItalicMT" w:hAnsi="Garamond"/>
          <w:iCs/>
          <w:sz w:val="20"/>
          <w:szCs w:val="20"/>
          <w:lang w:val="en-GB"/>
        </w:rPr>
        <w:t>, §</w:t>
      </w:r>
      <w:r w:rsidRPr="00F94F4E">
        <w:rPr>
          <w:rFonts w:ascii="Garamond" w:hAnsi="Garamond"/>
          <w:sz w:val="20"/>
          <w:szCs w:val="20"/>
          <w:lang w:val="en-GB"/>
        </w:rPr>
        <w:t xml:space="preserve">68; </w:t>
      </w:r>
      <w:r w:rsidRPr="00F94F4E">
        <w:rPr>
          <w:rFonts w:ascii="Garamond" w:hAnsi="Garamond"/>
          <w:i/>
          <w:iCs/>
          <w:sz w:val="20"/>
          <w:szCs w:val="20"/>
          <w:lang w:val="en-GB"/>
        </w:rPr>
        <w:t>Dubetska</w:t>
      </w:r>
      <w:r w:rsidRPr="00F94F4E">
        <w:rPr>
          <w:rFonts w:ascii="Garamond" w:hAnsi="Garamond"/>
          <w:sz w:val="20"/>
          <w:szCs w:val="20"/>
          <w:lang w:val="en-GB"/>
        </w:rPr>
        <w:t>, §108.</w:t>
      </w:r>
    </w:p>
  </w:footnote>
  <w:footnote w:id="138">
    <w:p w14:paraId="06111021" w14:textId="77777777" w:rsidR="008D4DEB" w:rsidRPr="00F94F4E" w:rsidRDefault="008D4DEB" w:rsidP="008D4DEB">
      <w:pPr>
        <w:autoSpaceDE w:val="0"/>
        <w:adjustRightInd w:val="0"/>
        <w:jc w:val="both"/>
        <w:rPr>
          <w:rFonts w:ascii="Garamond" w:hAnsi="Garamond"/>
          <w:sz w:val="20"/>
          <w:szCs w:val="20"/>
          <w:lang w:val="pt-PT"/>
        </w:rPr>
      </w:pPr>
      <w:r w:rsidRPr="00F94F4E">
        <w:rPr>
          <w:rStyle w:val="Appelnotedebasdep"/>
          <w:rFonts w:ascii="Garamond" w:hAnsi="Garamond"/>
          <w:sz w:val="20"/>
          <w:szCs w:val="20"/>
          <w:lang w:val="en-GB"/>
        </w:rPr>
        <w:footnoteRef/>
      </w:r>
      <w:r w:rsidRPr="00F94F4E">
        <w:rPr>
          <w:rFonts w:ascii="Garamond" w:hAnsi="Garamond"/>
          <w:sz w:val="20"/>
          <w:szCs w:val="20"/>
          <w:lang w:val="pt-PT"/>
        </w:rPr>
        <w:t xml:space="preserve"> </w:t>
      </w:r>
      <w:r w:rsidRPr="00F94F4E">
        <w:rPr>
          <w:rFonts w:ascii="Garamond" w:eastAsia="TimesNewRomanPS-ItalicMT" w:hAnsi="Garamond"/>
          <w:i/>
          <w:iCs/>
          <w:sz w:val="20"/>
          <w:szCs w:val="20"/>
          <w:lang w:val="pt-PT"/>
        </w:rPr>
        <w:t>Oluić v. Croatia</w:t>
      </w:r>
      <w:r w:rsidRPr="00F94F4E">
        <w:rPr>
          <w:rFonts w:ascii="Garamond" w:eastAsia="TimesNewRomanPS-ItalicMT" w:hAnsi="Garamond"/>
          <w:iCs/>
          <w:sz w:val="20"/>
          <w:szCs w:val="20"/>
          <w:lang w:val="pt-PT"/>
        </w:rPr>
        <w:t>, a</w:t>
      </w:r>
      <w:r w:rsidRPr="00F94F4E">
        <w:rPr>
          <w:rFonts w:ascii="Garamond" w:hAnsi="Garamond"/>
          <w:sz w:val="20"/>
          <w:szCs w:val="20"/>
          <w:lang w:val="pt-PT"/>
        </w:rPr>
        <w:t>pp. no. 61260/08, 20 May 2010,</w:t>
      </w:r>
      <w:r w:rsidRPr="00F94F4E">
        <w:rPr>
          <w:rFonts w:ascii="Garamond" w:hAnsi="Garamond"/>
          <w:iCs/>
          <w:sz w:val="20"/>
          <w:szCs w:val="20"/>
          <w:lang w:val="pt-PT"/>
        </w:rPr>
        <w:t xml:space="preserve"> </w:t>
      </w:r>
      <w:r w:rsidRPr="00F94F4E">
        <w:rPr>
          <w:rFonts w:ascii="Garamond" w:hAnsi="Garamond"/>
          <w:sz w:val="20"/>
          <w:szCs w:val="20"/>
          <w:lang w:val="pt-PT"/>
        </w:rPr>
        <w:t xml:space="preserve">§60; </w:t>
      </w:r>
      <w:r w:rsidRPr="00F94F4E">
        <w:rPr>
          <w:rFonts w:ascii="Garamond" w:hAnsi="Garamond"/>
          <w:i/>
          <w:iCs/>
          <w:sz w:val="20"/>
          <w:szCs w:val="20"/>
          <w:lang w:val="en-GB"/>
        </w:rPr>
        <w:t>Tătar</w:t>
      </w:r>
      <w:r w:rsidRPr="00F94F4E">
        <w:rPr>
          <w:rFonts w:ascii="Garamond" w:hAnsi="Garamond"/>
          <w:sz w:val="20"/>
          <w:szCs w:val="20"/>
          <w:lang w:val="pt-PT"/>
        </w:rPr>
        <w:t xml:space="preserve">, §95; </w:t>
      </w:r>
      <w:r w:rsidRPr="00F94F4E">
        <w:rPr>
          <w:rFonts w:ascii="Garamond" w:eastAsia="TimesNewRomanPS-ItalicMT" w:hAnsi="Garamond"/>
          <w:i/>
          <w:iCs/>
          <w:sz w:val="20"/>
          <w:szCs w:val="20"/>
          <w:lang w:val="pt-PT"/>
        </w:rPr>
        <w:t>Udovičić v. Croatia</w:t>
      </w:r>
      <w:r w:rsidRPr="00F94F4E">
        <w:rPr>
          <w:rFonts w:ascii="Garamond" w:eastAsia="TimesNewRomanPS-ItalicMT" w:hAnsi="Garamond"/>
          <w:iCs/>
          <w:sz w:val="20"/>
          <w:szCs w:val="20"/>
          <w:lang w:val="pt-PT"/>
        </w:rPr>
        <w:t xml:space="preserve">, </w:t>
      </w:r>
      <w:r w:rsidRPr="00F94F4E">
        <w:rPr>
          <w:rFonts w:ascii="Garamond" w:eastAsia="TimesNewRomanPS-ItalicMT" w:hAnsi="Garamond"/>
          <w:sz w:val="20"/>
          <w:szCs w:val="20"/>
          <w:lang w:val="pt-PT"/>
        </w:rPr>
        <w:t>app. no. 27310/09, 24 April 2014</w:t>
      </w:r>
      <w:r w:rsidRPr="00F94F4E">
        <w:rPr>
          <w:rFonts w:ascii="Garamond" w:hAnsi="Garamond"/>
          <w:sz w:val="20"/>
          <w:szCs w:val="20"/>
          <w:lang w:val="pt-PT"/>
        </w:rPr>
        <w:t>, §143.</w:t>
      </w:r>
    </w:p>
  </w:footnote>
  <w:footnote w:id="139">
    <w:p w14:paraId="57A4856C"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lang w:val="en-GB"/>
        </w:rPr>
        <w:footnoteRef/>
      </w:r>
      <w:r w:rsidRPr="00F94F4E">
        <w:rPr>
          <w:rFonts w:ascii="Garamond" w:hAnsi="Garamond" w:cs="Times New Roman"/>
          <w:lang w:val="en-GB"/>
        </w:rPr>
        <w:t xml:space="preserve"> In this regard, the Applicant’s highlight the example of Italy, which unilaterally withdrew from the ECT in 2016.</w:t>
      </w:r>
    </w:p>
  </w:footnote>
  <w:footnote w:id="140">
    <w:p w14:paraId="5D9F6C5B" w14:textId="77777777" w:rsidR="008D4DEB" w:rsidRPr="00F94F4E" w:rsidRDefault="008D4DEB" w:rsidP="008D4DEB">
      <w:pPr>
        <w:pStyle w:val="Notedebasdepage"/>
        <w:jc w:val="both"/>
        <w:rPr>
          <w:rFonts w:ascii="Garamond" w:hAnsi="Garamond"/>
          <w:lang w:val="en-GB"/>
        </w:rPr>
      </w:pPr>
      <w:r w:rsidRPr="00F94F4E">
        <w:rPr>
          <w:rStyle w:val="Appelnotedebasdep"/>
          <w:rFonts w:ascii="Garamond" w:hAnsi="Garamond"/>
        </w:rPr>
        <w:footnoteRef/>
      </w:r>
      <w:r w:rsidRPr="00F94F4E">
        <w:rPr>
          <w:rFonts w:ascii="Garamond" w:hAnsi="Garamond"/>
          <w:lang w:val="en-GB"/>
        </w:rPr>
        <w:t xml:space="preserve"> </w:t>
      </w:r>
      <w:r w:rsidRPr="00F94F4E">
        <w:rPr>
          <w:rFonts w:ascii="Garamond" w:hAnsi="Garamond" w:cs="Times New Roman"/>
          <w:i/>
          <w:iCs/>
          <w:lang w:val="en-GB"/>
        </w:rPr>
        <w:t>Rantsev v. Cyprus and Russia</w:t>
      </w:r>
      <w:r w:rsidRPr="00F94F4E">
        <w:rPr>
          <w:rFonts w:ascii="Garamond" w:hAnsi="Garamond" w:cs="Times New Roman"/>
          <w:lang w:val="en-GB"/>
        </w:rPr>
        <w:t>, §289.</w:t>
      </w:r>
    </w:p>
  </w:footnote>
  <w:footnote w:id="141">
    <w:p w14:paraId="480CBD05" w14:textId="77777777" w:rsidR="008D4DEB" w:rsidRPr="00F94F4E" w:rsidRDefault="008D4DEB" w:rsidP="008D4DEB">
      <w:pPr>
        <w:pStyle w:val="Notedebasdepage"/>
        <w:jc w:val="both"/>
        <w:rPr>
          <w:rFonts w:ascii="Garamond" w:hAnsi="Garamond" w:cs="Times New Roman"/>
          <w:lang w:val="en-GB"/>
        </w:rPr>
      </w:pPr>
      <w:r w:rsidRPr="00F94F4E">
        <w:rPr>
          <w:rStyle w:val="Appelnotedebasdep"/>
          <w:rFonts w:ascii="Garamond" w:hAnsi="Garamond"/>
          <w:lang w:val="en-GB"/>
        </w:rPr>
        <w:footnoteRef/>
      </w:r>
      <w:r w:rsidRPr="00F94F4E">
        <w:rPr>
          <w:rFonts w:ascii="Garamond" w:hAnsi="Garamond" w:cs="Times New Roman"/>
          <w:lang w:val="en-GB"/>
        </w:rPr>
        <w:t xml:space="preserve"> In a similar vein, the Parliamentary Assembly of the Council of Europe has called upon Member States to “</w:t>
      </w:r>
      <w:r w:rsidRPr="00F94F4E">
        <w:rPr>
          <w:rFonts w:ascii="Garamond" w:hAnsi="Garamond" w:cs="Times New Roman"/>
          <w:i/>
          <w:iCs/>
          <w:lang w:val="en-GB"/>
        </w:rPr>
        <w:t>review all ISDS clauses in international investment agreements that they have entered into, assess their appropriateness and bring them into line with best practices […]</w:t>
      </w:r>
      <w:r w:rsidRPr="00F94F4E">
        <w:rPr>
          <w:rFonts w:ascii="Garamond" w:hAnsi="Garamond" w:cs="Times New Roman"/>
          <w:iCs/>
          <w:lang w:val="en-GB"/>
        </w:rPr>
        <w:t>”</w:t>
      </w:r>
      <w:r w:rsidRPr="00F94F4E">
        <w:rPr>
          <w:rFonts w:ascii="Garamond" w:hAnsi="Garamond" w:cs="Times New Roman"/>
          <w:lang w:val="en-GB"/>
        </w:rPr>
        <w:t xml:space="preserve"> (Resolution 2151 (2017), para 10.7)).</w:t>
      </w:r>
    </w:p>
  </w:footnote>
  <w:footnote w:id="142">
    <w:p w14:paraId="2BBC3A1D" w14:textId="77777777" w:rsidR="008D4DEB" w:rsidRPr="00F94F4E" w:rsidRDefault="008D4DEB" w:rsidP="008D4DEB">
      <w:pPr>
        <w:pStyle w:val="Notedebasdepage"/>
        <w:tabs>
          <w:tab w:val="left" w:pos="908"/>
        </w:tabs>
        <w:jc w:val="both"/>
        <w:rPr>
          <w:rFonts w:ascii="Garamond" w:hAnsi="Garamond"/>
          <w:lang w:val="en-GB"/>
        </w:rPr>
      </w:pPr>
      <w:r w:rsidRPr="00F94F4E">
        <w:rPr>
          <w:rStyle w:val="Appelnotedebasdep"/>
          <w:rFonts w:ascii="Garamond" w:hAnsi="Garamond"/>
        </w:rPr>
        <w:footnoteRef/>
      </w:r>
      <w:r w:rsidRPr="00F94F4E">
        <w:rPr>
          <w:rFonts w:ascii="Garamond" w:hAnsi="Garamond"/>
          <w:lang w:val="en-GB"/>
        </w:rPr>
        <w:t xml:space="preserve"> See </w:t>
      </w:r>
      <w:r w:rsidRPr="00F94F4E">
        <w:rPr>
          <w:rFonts w:ascii="Garamond" w:hAnsi="Garamond" w:cs="Times New Roman"/>
          <w:lang w:val="en-GB"/>
        </w:rPr>
        <w:t xml:space="preserve">EU Parliament, motion for a resolution: the EU Parliament has expressed its concerns regarding the poor access to the negotiating texts of the ECT modernisation negotiations compared to the negotiations of other treaties.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5245"/>
    </w:tblGrid>
    <w:tr w:rsidR="00B5680D" w:rsidRPr="00455529" w14:paraId="77E37E3B" w14:textId="77777777" w:rsidTr="00B5680D">
      <w:tc>
        <w:tcPr>
          <w:tcW w:w="4678" w:type="dxa"/>
          <w:vMerge w:val="restart"/>
          <w:shd w:val="clear" w:color="auto" w:fill="auto"/>
          <w:vAlign w:val="bottom"/>
        </w:tcPr>
        <w:p w14:paraId="0A1415BD" w14:textId="66913959" w:rsidR="00B5680D" w:rsidRPr="00455529" w:rsidRDefault="00B5680D" w:rsidP="00B5680D">
          <w:pPr>
            <w:pStyle w:val="En-tte"/>
            <w:spacing w:after="60"/>
            <w:rPr>
              <w:rFonts w:ascii="Open Sans" w:hAnsi="Open Sans" w:cs="Open Sans"/>
              <w:b/>
              <w:bCs/>
              <w:sz w:val="20"/>
              <w:szCs w:val="20"/>
            </w:rPr>
          </w:pPr>
        </w:p>
      </w:tc>
      <w:tc>
        <w:tcPr>
          <w:tcW w:w="5245" w:type="dxa"/>
          <w:shd w:val="clear" w:color="auto" w:fill="auto"/>
        </w:tcPr>
        <w:p w14:paraId="3F92A57D" w14:textId="77777777" w:rsidR="00B5680D" w:rsidRPr="00526FA3" w:rsidRDefault="00B5680D" w:rsidP="00B5680D">
          <w:pPr>
            <w:pStyle w:val="En-tte"/>
            <w:spacing w:after="60"/>
            <w:jc w:val="both"/>
            <w:rPr>
              <w:rFonts w:cs="Times New Roman"/>
              <w:noProof/>
              <w:sz w:val="20"/>
              <w:szCs w:val="20"/>
            </w:rPr>
          </w:pPr>
        </w:p>
      </w:tc>
    </w:tr>
    <w:tr w:rsidR="00B5680D" w:rsidRPr="00455529" w14:paraId="345E351A" w14:textId="77777777" w:rsidTr="00B5680D">
      <w:tc>
        <w:tcPr>
          <w:tcW w:w="4678" w:type="dxa"/>
          <w:vMerge/>
          <w:shd w:val="clear" w:color="auto" w:fill="auto"/>
        </w:tcPr>
        <w:p w14:paraId="6D6E84C2" w14:textId="77777777" w:rsidR="00B5680D" w:rsidRPr="00455529" w:rsidRDefault="00B5680D" w:rsidP="00B5680D">
          <w:pPr>
            <w:pStyle w:val="En-tte"/>
            <w:rPr>
              <w:rFonts w:ascii="Open Sans" w:hAnsi="Open Sans" w:cs="Open Sans"/>
              <w:b/>
              <w:bCs/>
              <w:sz w:val="20"/>
              <w:szCs w:val="20"/>
            </w:rPr>
          </w:pPr>
        </w:p>
      </w:tc>
      <w:tc>
        <w:tcPr>
          <w:tcW w:w="5245" w:type="dxa"/>
          <w:shd w:val="clear" w:color="auto" w:fill="auto"/>
        </w:tcPr>
        <w:p w14:paraId="43E7F2E6" w14:textId="472A647C" w:rsidR="00B5680D" w:rsidRPr="00B5460F" w:rsidRDefault="00B5680D" w:rsidP="00B5680D">
          <w:pPr>
            <w:pStyle w:val="En-tte"/>
            <w:spacing w:line="276" w:lineRule="auto"/>
            <w:jc w:val="right"/>
            <w:rPr>
              <w:rFonts w:cs="Times New Roman"/>
              <w:noProof/>
              <w:sz w:val="20"/>
              <w:szCs w:val="20"/>
              <w:highlight w:val="cyan"/>
              <w:lang w:val="en-GB"/>
            </w:rPr>
          </w:pPr>
          <w:r>
            <w:rPr>
              <w:rFonts w:ascii="Garamond" w:hAnsi="Garamond" w:cstheme="minorHAnsi"/>
              <w:i/>
              <w:iCs/>
              <w:lang w:val="en-GB"/>
            </w:rPr>
            <w:t>Young Climate Change Victims v ECT</w:t>
          </w:r>
        </w:p>
      </w:tc>
    </w:tr>
    <w:tr w:rsidR="00B5680D" w:rsidRPr="00455529" w14:paraId="159FFB8B" w14:textId="77777777" w:rsidTr="00B5680D">
      <w:tc>
        <w:tcPr>
          <w:tcW w:w="4678" w:type="dxa"/>
          <w:vMerge/>
          <w:shd w:val="clear" w:color="auto" w:fill="auto"/>
        </w:tcPr>
        <w:p w14:paraId="1D27EE3B" w14:textId="77777777" w:rsidR="00B5680D" w:rsidRPr="00455529" w:rsidRDefault="00B5680D" w:rsidP="00B5680D">
          <w:pPr>
            <w:pStyle w:val="En-tte"/>
            <w:rPr>
              <w:rFonts w:ascii="Open Sans" w:hAnsi="Open Sans" w:cs="Open Sans"/>
              <w:b/>
              <w:bCs/>
              <w:sz w:val="20"/>
              <w:szCs w:val="20"/>
            </w:rPr>
          </w:pPr>
        </w:p>
      </w:tc>
      <w:tc>
        <w:tcPr>
          <w:tcW w:w="5245" w:type="dxa"/>
          <w:shd w:val="clear" w:color="auto" w:fill="auto"/>
        </w:tcPr>
        <w:p w14:paraId="1FEB015C" w14:textId="2A3667DF" w:rsidR="00B5680D" w:rsidRPr="00B5460F" w:rsidRDefault="00B5680D" w:rsidP="00B5680D">
          <w:pPr>
            <w:pStyle w:val="En-tte"/>
            <w:spacing w:line="276" w:lineRule="auto"/>
            <w:jc w:val="right"/>
            <w:rPr>
              <w:rFonts w:cs="Times New Roman"/>
              <w:noProof/>
              <w:sz w:val="20"/>
              <w:szCs w:val="20"/>
              <w:highlight w:val="cyan"/>
              <w:lang w:val="en-GB"/>
            </w:rPr>
          </w:pPr>
          <w:r>
            <w:rPr>
              <w:rFonts w:ascii="Garamond" w:hAnsi="Garamond" w:cstheme="minorHAnsi"/>
              <w:bCs/>
              <w:i/>
              <w:iCs/>
              <w:lang w:val="en-GB"/>
            </w:rPr>
            <w:t>Main arguments</w:t>
          </w:r>
          <w:r w:rsidRPr="001831DD">
            <w:rPr>
              <w:rFonts w:ascii="Garamond" w:hAnsi="Garamond" w:cstheme="minorHAnsi"/>
              <w:i/>
              <w:iCs/>
              <w:lang w:val="en-GB"/>
            </w:rPr>
            <w:t xml:space="preserve"> of the Application</w:t>
          </w:r>
          <w:r>
            <w:rPr>
              <w:rFonts w:ascii="Garamond" w:hAnsi="Garamond" w:cstheme="minorHAnsi"/>
              <w:i/>
              <w:iCs/>
              <w:lang w:val="en-GB"/>
            </w:rPr>
            <w:t xml:space="preserve"> </w:t>
          </w:r>
          <w:r w:rsidRPr="00B5680D">
            <w:rPr>
              <w:rFonts w:ascii="Garamond" w:hAnsi="Garamond" w:cstheme="minorHAnsi"/>
              <w:i/>
              <w:iCs/>
              <w:lang w:val="en-GB"/>
            </w:rPr>
            <w:t>filed before the ECtHR</w:t>
          </w:r>
        </w:p>
      </w:tc>
    </w:tr>
    <w:tr w:rsidR="00B5680D" w:rsidRPr="00455529" w14:paraId="4E4F295E" w14:textId="77777777" w:rsidTr="00EB6B80">
      <w:trPr>
        <w:trHeight w:val="57"/>
      </w:trPr>
      <w:tc>
        <w:tcPr>
          <w:tcW w:w="9923" w:type="dxa"/>
          <w:gridSpan w:val="2"/>
          <w:shd w:val="clear" w:color="auto" w:fill="auto"/>
          <w:vAlign w:val="center"/>
        </w:tcPr>
        <w:p w14:paraId="3581C429" w14:textId="77777777" w:rsidR="00B5680D" w:rsidRPr="00455529" w:rsidRDefault="00B5680D" w:rsidP="00B5680D">
          <w:pPr>
            <w:pStyle w:val="En-tte"/>
            <w:jc w:val="center"/>
            <w:rPr>
              <w:rFonts w:ascii="Open Sans" w:hAnsi="Open Sans" w:cs="Open Sans"/>
              <w:noProof/>
              <w:sz w:val="20"/>
              <w:szCs w:val="20"/>
            </w:rPr>
          </w:pPr>
          <w:r w:rsidRPr="00294DF0">
            <w:rPr>
              <w:rFonts w:ascii="Open Sans" w:hAnsi="Open Sans" w:cs="Open Sans"/>
              <w:noProof/>
              <w:sz w:val="20"/>
              <w:szCs w:val="20"/>
            </w:rPr>
            <w:drawing>
              <wp:anchor distT="0" distB="0" distL="114300" distR="114300" simplePos="0" relativeHeight="251661312" behindDoc="1" locked="0" layoutInCell="1" allowOverlap="1" wp14:anchorId="055D3523" wp14:editId="63CC319D">
                <wp:simplePos x="0" y="0"/>
                <wp:positionH relativeFrom="column">
                  <wp:posOffset>3175</wp:posOffset>
                </wp:positionH>
                <wp:positionV relativeFrom="paragraph">
                  <wp:posOffset>73025</wp:posOffset>
                </wp:positionV>
                <wp:extent cx="6191885" cy="34925"/>
                <wp:effectExtent l="0" t="0" r="5715" b="3175"/>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191885" cy="34925"/>
                        </a:xfrm>
                        <a:prstGeom prst="rect">
                          <a:avLst/>
                        </a:prstGeom>
                      </pic:spPr>
                    </pic:pic>
                  </a:graphicData>
                </a:graphic>
                <wp14:sizeRelH relativeFrom="page">
                  <wp14:pctWidth>0</wp14:pctWidth>
                </wp14:sizeRelH>
                <wp14:sizeRelV relativeFrom="page">
                  <wp14:pctHeight>0</wp14:pctHeight>
                </wp14:sizeRelV>
              </wp:anchor>
            </w:drawing>
          </w:r>
        </w:p>
      </w:tc>
    </w:tr>
  </w:tbl>
  <w:p w14:paraId="4D9165FF" w14:textId="77777777" w:rsidR="00B5680D" w:rsidRPr="00B5680D" w:rsidRDefault="00B5680D" w:rsidP="00B5680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2"/>
      <w:gridCol w:w="3691"/>
    </w:tblGrid>
    <w:tr w:rsidR="00B5460F" w:rsidRPr="00455529" w14:paraId="277E3227" w14:textId="77777777" w:rsidTr="00EB6B80">
      <w:tc>
        <w:tcPr>
          <w:tcW w:w="6232" w:type="dxa"/>
          <w:vMerge w:val="restart"/>
          <w:shd w:val="clear" w:color="auto" w:fill="auto"/>
          <w:vAlign w:val="bottom"/>
        </w:tcPr>
        <w:p w14:paraId="41C24070" w14:textId="7DE570D9" w:rsidR="00B5460F" w:rsidRPr="00455529" w:rsidRDefault="00B5460F" w:rsidP="00B5460F">
          <w:pPr>
            <w:pStyle w:val="En-tte"/>
            <w:spacing w:after="60"/>
            <w:rPr>
              <w:rFonts w:ascii="Open Sans" w:hAnsi="Open Sans" w:cs="Open Sans"/>
              <w:b/>
              <w:bCs/>
              <w:sz w:val="20"/>
              <w:szCs w:val="20"/>
            </w:rPr>
          </w:pPr>
          <w:r w:rsidRPr="00294DF0">
            <w:rPr>
              <w:rFonts w:ascii="Open Sans" w:hAnsi="Open Sans" w:cs="Open Sans"/>
              <w:noProof/>
              <w:sz w:val="20"/>
              <w:szCs w:val="20"/>
            </w:rPr>
            <w:drawing>
              <wp:inline distT="0" distB="0" distL="0" distR="0" wp14:anchorId="3064674F" wp14:editId="16DC165F">
                <wp:extent cx="1562100" cy="355600"/>
                <wp:effectExtent l="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62100" cy="355600"/>
                        </a:xfrm>
                        <a:prstGeom prst="rect">
                          <a:avLst/>
                        </a:prstGeom>
                      </pic:spPr>
                    </pic:pic>
                  </a:graphicData>
                </a:graphic>
              </wp:inline>
            </w:drawing>
          </w:r>
        </w:p>
      </w:tc>
      <w:tc>
        <w:tcPr>
          <w:tcW w:w="3691" w:type="dxa"/>
          <w:shd w:val="clear" w:color="auto" w:fill="auto"/>
        </w:tcPr>
        <w:p w14:paraId="542EEE70" w14:textId="77777777" w:rsidR="00B5460F" w:rsidRPr="00526FA3" w:rsidRDefault="00B5460F" w:rsidP="00B5460F">
          <w:pPr>
            <w:pStyle w:val="En-tte"/>
            <w:spacing w:after="60"/>
            <w:jc w:val="both"/>
            <w:rPr>
              <w:rFonts w:cs="Times New Roman"/>
              <w:noProof/>
              <w:sz w:val="20"/>
              <w:szCs w:val="20"/>
            </w:rPr>
          </w:pPr>
        </w:p>
      </w:tc>
    </w:tr>
    <w:tr w:rsidR="00B5460F" w:rsidRPr="00455529" w14:paraId="12055396" w14:textId="77777777" w:rsidTr="00EB6B80">
      <w:tc>
        <w:tcPr>
          <w:tcW w:w="6232" w:type="dxa"/>
          <w:vMerge/>
          <w:shd w:val="clear" w:color="auto" w:fill="auto"/>
        </w:tcPr>
        <w:p w14:paraId="2F56D87D" w14:textId="77777777" w:rsidR="00B5460F" w:rsidRPr="00455529" w:rsidRDefault="00B5460F" w:rsidP="00B5460F">
          <w:pPr>
            <w:pStyle w:val="En-tte"/>
            <w:rPr>
              <w:rFonts w:ascii="Open Sans" w:hAnsi="Open Sans" w:cs="Open Sans"/>
              <w:b/>
              <w:bCs/>
              <w:sz w:val="20"/>
              <w:szCs w:val="20"/>
            </w:rPr>
          </w:pPr>
        </w:p>
      </w:tc>
      <w:tc>
        <w:tcPr>
          <w:tcW w:w="3691" w:type="dxa"/>
          <w:shd w:val="clear" w:color="auto" w:fill="auto"/>
        </w:tcPr>
        <w:p w14:paraId="31BBF07A" w14:textId="333A4083" w:rsidR="00B5460F" w:rsidRPr="00B5460F" w:rsidRDefault="00B5460F" w:rsidP="00B5460F">
          <w:pPr>
            <w:pStyle w:val="En-tte"/>
            <w:spacing w:line="276" w:lineRule="auto"/>
            <w:jc w:val="right"/>
            <w:rPr>
              <w:rFonts w:cs="Times New Roman"/>
              <w:noProof/>
              <w:sz w:val="20"/>
              <w:szCs w:val="20"/>
              <w:highlight w:val="cyan"/>
              <w:lang w:val="en-GB"/>
            </w:rPr>
          </w:pPr>
        </w:p>
      </w:tc>
    </w:tr>
    <w:tr w:rsidR="00B5460F" w:rsidRPr="00455529" w14:paraId="3AECD241" w14:textId="77777777" w:rsidTr="00EB6B80">
      <w:tc>
        <w:tcPr>
          <w:tcW w:w="6232" w:type="dxa"/>
          <w:vMerge/>
          <w:shd w:val="clear" w:color="auto" w:fill="auto"/>
        </w:tcPr>
        <w:p w14:paraId="71645E1B" w14:textId="77777777" w:rsidR="00B5460F" w:rsidRPr="00455529" w:rsidRDefault="00B5460F" w:rsidP="00B5460F">
          <w:pPr>
            <w:pStyle w:val="En-tte"/>
            <w:rPr>
              <w:rFonts w:ascii="Open Sans" w:hAnsi="Open Sans" w:cs="Open Sans"/>
              <w:b/>
              <w:bCs/>
              <w:sz w:val="20"/>
              <w:szCs w:val="20"/>
            </w:rPr>
          </w:pPr>
        </w:p>
      </w:tc>
      <w:tc>
        <w:tcPr>
          <w:tcW w:w="3691" w:type="dxa"/>
          <w:shd w:val="clear" w:color="auto" w:fill="auto"/>
        </w:tcPr>
        <w:p w14:paraId="327B2FFD" w14:textId="5CC9AB05" w:rsidR="00B5460F" w:rsidRPr="00B5460F" w:rsidRDefault="00B5460F" w:rsidP="00B5460F">
          <w:pPr>
            <w:pStyle w:val="En-tte"/>
            <w:spacing w:line="276" w:lineRule="auto"/>
            <w:jc w:val="right"/>
            <w:rPr>
              <w:rFonts w:cs="Times New Roman"/>
              <w:noProof/>
              <w:sz w:val="20"/>
              <w:szCs w:val="20"/>
              <w:highlight w:val="cyan"/>
              <w:lang w:val="en-GB"/>
            </w:rPr>
          </w:pPr>
        </w:p>
      </w:tc>
    </w:tr>
    <w:tr w:rsidR="00B5460F" w:rsidRPr="00455529" w14:paraId="15141830" w14:textId="77777777" w:rsidTr="00EB6B80">
      <w:trPr>
        <w:trHeight w:val="57"/>
      </w:trPr>
      <w:tc>
        <w:tcPr>
          <w:tcW w:w="9923" w:type="dxa"/>
          <w:gridSpan w:val="2"/>
          <w:shd w:val="clear" w:color="auto" w:fill="auto"/>
          <w:vAlign w:val="center"/>
        </w:tcPr>
        <w:p w14:paraId="2A4ADD2F" w14:textId="77777777" w:rsidR="00B5460F" w:rsidRPr="00455529" w:rsidRDefault="00B5460F" w:rsidP="00B5460F">
          <w:pPr>
            <w:pStyle w:val="En-tte"/>
            <w:jc w:val="center"/>
            <w:rPr>
              <w:rFonts w:ascii="Open Sans" w:hAnsi="Open Sans" w:cs="Open Sans"/>
              <w:noProof/>
              <w:sz w:val="20"/>
              <w:szCs w:val="20"/>
            </w:rPr>
          </w:pPr>
          <w:r w:rsidRPr="00294DF0">
            <w:rPr>
              <w:rFonts w:ascii="Open Sans" w:hAnsi="Open Sans" w:cs="Open Sans"/>
              <w:noProof/>
              <w:sz w:val="20"/>
              <w:szCs w:val="20"/>
            </w:rPr>
            <w:drawing>
              <wp:anchor distT="0" distB="0" distL="114300" distR="114300" simplePos="0" relativeHeight="251659264" behindDoc="1" locked="0" layoutInCell="1" allowOverlap="1" wp14:anchorId="1452F7BB" wp14:editId="4DF683C5">
                <wp:simplePos x="0" y="0"/>
                <wp:positionH relativeFrom="column">
                  <wp:posOffset>3175</wp:posOffset>
                </wp:positionH>
                <wp:positionV relativeFrom="paragraph">
                  <wp:posOffset>73025</wp:posOffset>
                </wp:positionV>
                <wp:extent cx="6191885" cy="34925"/>
                <wp:effectExtent l="0" t="0" r="5715" b="3175"/>
                <wp:wrapNone/>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191885" cy="34925"/>
                        </a:xfrm>
                        <a:prstGeom prst="rect">
                          <a:avLst/>
                        </a:prstGeom>
                      </pic:spPr>
                    </pic:pic>
                  </a:graphicData>
                </a:graphic>
                <wp14:sizeRelH relativeFrom="page">
                  <wp14:pctWidth>0</wp14:pctWidth>
                </wp14:sizeRelH>
                <wp14:sizeRelV relativeFrom="page">
                  <wp14:pctHeight>0</wp14:pctHeight>
                </wp14:sizeRelV>
              </wp:anchor>
            </w:drawing>
          </w:r>
        </w:p>
      </w:tc>
    </w:tr>
  </w:tbl>
  <w:p w14:paraId="082D5EBA" w14:textId="7A6F068A" w:rsidR="00734678" w:rsidRPr="00B5460F" w:rsidRDefault="00734678" w:rsidP="00B5460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C75"/>
    <w:multiLevelType w:val="hybridMultilevel"/>
    <w:tmpl w:val="D230F840"/>
    <w:lvl w:ilvl="0" w:tplc="040C000B">
      <w:start w:val="1"/>
      <w:numFmt w:val="bullet"/>
      <w:pStyle w:val="SECCIONES"/>
      <w:lvlText w:val=""/>
      <w:lvlJc w:val="left"/>
      <w:pPr>
        <w:ind w:left="928"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630BF7"/>
    <w:multiLevelType w:val="hybridMultilevel"/>
    <w:tmpl w:val="DBAACB94"/>
    <w:lvl w:ilvl="0" w:tplc="8C3C48B4">
      <w:start w:val="1"/>
      <w:numFmt w:val="decimal"/>
      <w:lvlText w:val="%1."/>
      <w:lvlJc w:val="left"/>
      <w:pPr>
        <w:ind w:left="360" w:hanging="360"/>
      </w:pPr>
      <w:rPr>
        <w:i w:val="0"/>
        <w:iCs w:val="0"/>
        <w:color w:val="000000" w:themeColor="text1"/>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291A42"/>
    <w:multiLevelType w:val="hybridMultilevel"/>
    <w:tmpl w:val="74E4E120"/>
    <w:lvl w:ilvl="0" w:tplc="14428B60">
      <w:start w:val="1"/>
      <w:numFmt w:val="lowerRoman"/>
      <w:lvlText w:val="(%1)"/>
      <w:lvlJc w:val="left"/>
      <w:pPr>
        <w:ind w:left="1440" w:hanging="720"/>
      </w:pPr>
      <w:rPr>
        <w:rFonts w:cs="Times New Roman"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81719E3"/>
    <w:multiLevelType w:val="hybridMultilevel"/>
    <w:tmpl w:val="9A76136A"/>
    <w:lvl w:ilvl="0" w:tplc="BF84A796">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0D4A0CAA"/>
    <w:multiLevelType w:val="multilevel"/>
    <w:tmpl w:val="D18C85AE"/>
    <w:lvl w:ilvl="0">
      <w:start w:val="1"/>
      <w:numFmt w:val="decimal"/>
      <w:lvlText w:val="%1."/>
      <w:lvlJc w:val="left"/>
      <w:pPr>
        <w:ind w:left="360" w:hanging="360"/>
      </w:pPr>
      <w:rPr>
        <w:rFonts w:hint="default"/>
      </w:rPr>
    </w:lvl>
    <w:lvl w:ilvl="1">
      <w:start w:val="1"/>
      <w:numFmt w:val="decimal"/>
      <w:isLgl/>
      <w:lvlText w:val="%1.%2."/>
      <w:lvlJc w:val="left"/>
      <w:pPr>
        <w:ind w:left="567" w:hanging="56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D9B0335"/>
    <w:multiLevelType w:val="hybridMultilevel"/>
    <w:tmpl w:val="CB3EBDCA"/>
    <w:lvl w:ilvl="0" w:tplc="2FE02CD4">
      <w:start w:val="1"/>
      <w:numFmt w:val="decimal"/>
      <w:lvlText w:val="%1."/>
      <w:lvlJc w:val="left"/>
      <w:pPr>
        <w:ind w:left="720" w:hanging="360"/>
      </w:pPr>
      <w:rPr>
        <w:rFonts w:ascii="Garamond" w:hAnsi="Garamond"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446F7D"/>
    <w:multiLevelType w:val="hybridMultilevel"/>
    <w:tmpl w:val="89F86614"/>
    <w:lvl w:ilvl="0" w:tplc="8D544D30">
      <w:start w:val="1"/>
      <w:numFmt w:val="lowerLetter"/>
      <w:pStyle w:val="Titre4"/>
      <w:lvlText w:val="%1."/>
      <w:lvlJc w:val="left"/>
      <w:pPr>
        <w:ind w:left="737" w:hanging="51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52E2167"/>
    <w:multiLevelType w:val="hybridMultilevel"/>
    <w:tmpl w:val="660C3682"/>
    <w:lvl w:ilvl="0" w:tplc="6030785A">
      <w:start w:val="1"/>
      <w:numFmt w:val="upperRoman"/>
      <w:pStyle w:val="Titre1"/>
      <w:lvlText w:val="%1."/>
      <w:lvlJc w:val="right"/>
      <w:pPr>
        <w:ind w:left="510" w:hanging="36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1F952E7"/>
    <w:multiLevelType w:val="hybridMultilevel"/>
    <w:tmpl w:val="6ACC738C"/>
    <w:lvl w:ilvl="0" w:tplc="81D4302C">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42271063"/>
    <w:multiLevelType w:val="multilevel"/>
    <w:tmpl w:val="6D40CE8C"/>
    <w:styleLink w:val="Listeactuelle1"/>
    <w:lvl w:ilvl="0">
      <w:start w:val="1"/>
      <w:numFmt w:val="decimal"/>
      <w:lvlText w:val="%1."/>
      <w:lvlJc w:val="left"/>
      <w:pPr>
        <w:ind w:left="360" w:hanging="360"/>
      </w:pPr>
      <w:rPr>
        <w:rFonts w:hint="default"/>
      </w:rPr>
    </w:lvl>
    <w:lvl w:ilvl="1">
      <w:start w:val="1"/>
      <w:numFmt w:val="decimal"/>
      <w:isLgl/>
      <w:lvlText w:val="%1.%2."/>
      <w:lvlJc w:val="left"/>
      <w:pPr>
        <w:ind w:left="567" w:hanging="56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2293FA2"/>
    <w:multiLevelType w:val="hybridMultilevel"/>
    <w:tmpl w:val="096E18A2"/>
    <w:lvl w:ilvl="0" w:tplc="70BA0260">
      <w:start w:val="1"/>
      <w:numFmt w:val="bullet"/>
      <w:pStyle w:val="Titre6"/>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3E0676"/>
    <w:multiLevelType w:val="hybridMultilevel"/>
    <w:tmpl w:val="79A06388"/>
    <w:lvl w:ilvl="0" w:tplc="1C008F92">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6A9C3175"/>
    <w:multiLevelType w:val="multilevel"/>
    <w:tmpl w:val="8F82171E"/>
    <w:lvl w:ilvl="0">
      <w:start w:val="1"/>
      <w:numFmt w:val="decimal"/>
      <w:lvlText w:val="%1"/>
      <w:lvlJc w:val="left"/>
      <w:pPr>
        <w:ind w:left="360" w:hanging="360"/>
      </w:pPr>
      <w:rPr>
        <w:rFonts w:hint="default"/>
      </w:rPr>
    </w:lvl>
    <w:lvl w:ilvl="1">
      <w:start w:val="1"/>
      <w:numFmt w:val="decimal"/>
      <w:pStyle w:val="Titre3"/>
      <w:lvlText w:val="%1.%2"/>
      <w:lvlJc w:val="left"/>
      <w:pPr>
        <w:ind w:left="567" w:hanging="567"/>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87"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2114B38"/>
    <w:multiLevelType w:val="hybridMultilevel"/>
    <w:tmpl w:val="1B504F24"/>
    <w:lvl w:ilvl="0" w:tplc="144A97B2">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7EE7453F"/>
    <w:multiLevelType w:val="multilevel"/>
    <w:tmpl w:val="5B6A7E9E"/>
    <w:lvl w:ilvl="0">
      <w:start w:val="1"/>
      <w:numFmt w:val="decimal"/>
      <w:pStyle w:val="Titre2"/>
      <w:lvlText w:val="%1."/>
      <w:lvlJc w:val="left"/>
      <w:pPr>
        <w:ind w:left="567" w:hanging="567"/>
      </w:pPr>
      <w:rPr>
        <w:rFonts w:hint="default"/>
        <w:color w:val="000000" w:themeColor="text1"/>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num w:numId="1" w16cid:durableId="1410425535">
    <w:abstractNumId w:val="7"/>
  </w:num>
  <w:num w:numId="2" w16cid:durableId="567804953">
    <w:abstractNumId w:val="14"/>
  </w:num>
  <w:num w:numId="3" w16cid:durableId="521017208">
    <w:abstractNumId w:val="12"/>
  </w:num>
  <w:num w:numId="4" w16cid:durableId="773942598">
    <w:abstractNumId w:val="6"/>
  </w:num>
  <w:num w:numId="5" w16cid:durableId="1389454701">
    <w:abstractNumId w:val="10"/>
  </w:num>
  <w:num w:numId="6" w16cid:durableId="1439447033">
    <w:abstractNumId w:val="0"/>
  </w:num>
  <w:num w:numId="7" w16cid:durableId="106392956">
    <w:abstractNumId w:val="5"/>
  </w:num>
  <w:num w:numId="8" w16cid:durableId="2133210533">
    <w:abstractNumId w:val="1"/>
  </w:num>
  <w:num w:numId="9" w16cid:durableId="617445431">
    <w:abstractNumId w:val="4"/>
  </w:num>
  <w:num w:numId="10" w16cid:durableId="319820153">
    <w:abstractNumId w:val="8"/>
  </w:num>
  <w:num w:numId="11" w16cid:durableId="1083916930">
    <w:abstractNumId w:val="3"/>
  </w:num>
  <w:num w:numId="12" w16cid:durableId="239414958">
    <w:abstractNumId w:val="2"/>
  </w:num>
  <w:num w:numId="13" w16cid:durableId="404185343">
    <w:abstractNumId w:val="13"/>
  </w:num>
  <w:num w:numId="14" w16cid:durableId="433400885">
    <w:abstractNumId w:val="11"/>
  </w:num>
  <w:num w:numId="15" w16cid:durableId="1070804985">
    <w:abstractNumId w:val="9"/>
  </w:num>
  <w:num w:numId="16" w16cid:durableId="621770622">
    <w:abstractNumId w:val="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CBA"/>
    <w:rsid w:val="00014EA4"/>
    <w:rsid w:val="0007491B"/>
    <w:rsid w:val="00082BAF"/>
    <w:rsid w:val="000B2FC5"/>
    <w:rsid w:val="000C1DBC"/>
    <w:rsid w:val="000C40E2"/>
    <w:rsid w:val="000D2E1D"/>
    <w:rsid w:val="000E4337"/>
    <w:rsid w:val="000F4EFC"/>
    <w:rsid w:val="000F68D4"/>
    <w:rsid w:val="001103BE"/>
    <w:rsid w:val="00110FB7"/>
    <w:rsid w:val="001331E2"/>
    <w:rsid w:val="0014585B"/>
    <w:rsid w:val="00152ED6"/>
    <w:rsid w:val="00161456"/>
    <w:rsid w:val="00161E90"/>
    <w:rsid w:val="00170F29"/>
    <w:rsid w:val="00170FD1"/>
    <w:rsid w:val="001763B5"/>
    <w:rsid w:val="00187380"/>
    <w:rsid w:val="001A082F"/>
    <w:rsid w:val="001A5802"/>
    <w:rsid w:val="001B0F04"/>
    <w:rsid w:val="001B262B"/>
    <w:rsid w:val="001B52BE"/>
    <w:rsid w:val="001C4FA0"/>
    <w:rsid w:val="001C678D"/>
    <w:rsid w:val="001F611F"/>
    <w:rsid w:val="001F6BC9"/>
    <w:rsid w:val="002158A9"/>
    <w:rsid w:val="00217751"/>
    <w:rsid w:val="00236F47"/>
    <w:rsid w:val="00270239"/>
    <w:rsid w:val="00284432"/>
    <w:rsid w:val="0028633F"/>
    <w:rsid w:val="00294DF0"/>
    <w:rsid w:val="00297CBA"/>
    <w:rsid w:val="002A1BC0"/>
    <w:rsid w:val="002A45FA"/>
    <w:rsid w:val="002A691E"/>
    <w:rsid w:val="002B4F9A"/>
    <w:rsid w:val="002B5521"/>
    <w:rsid w:val="002C1994"/>
    <w:rsid w:val="002F0D26"/>
    <w:rsid w:val="003144CF"/>
    <w:rsid w:val="003163F5"/>
    <w:rsid w:val="003229D3"/>
    <w:rsid w:val="00326A96"/>
    <w:rsid w:val="00344FF8"/>
    <w:rsid w:val="0035162F"/>
    <w:rsid w:val="0036031E"/>
    <w:rsid w:val="00370997"/>
    <w:rsid w:val="00380543"/>
    <w:rsid w:val="00381A95"/>
    <w:rsid w:val="0038328E"/>
    <w:rsid w:val="003A3523"/>
    <w:rsid w:val="003A761A"/>
    <w:rsid w:val="003B06A3"/>
    <w:rsid w:val="003B1D88"/>
    <w:rsid w:val="003C0C5F"/>
    <w:rsid w:val="003F0570"/>
    <w:rsid w:val="003F1837"/>
    <w:rsid w:val="003F76A2"/>
    <w:rsid w:val="004144B7"/>
    <w:rsid w:val="00416D74"/>
    <w:rsid w:val="0042020E"/>
    <w:rsid w:val="00442CCC"/>
    <w:rsid w:val="00450A56"/>
    <w:rsid w:val="00455529"/>
    <w:rsid w:val="004568C1"/>
    <w:rsid w:val="00460C81"/>
    <w:rsid w:val="00470D3B"/>
    <w:rsid w:val="00473933"/>
    <w:rsid w:val="00480B34"/>
    <w:rsid w:val="004A2E06"/>
    <w:rsid w:val="004A33C6"/>
    <w:rsid w:val="004B15DC"/>
    <w:rsid w:val="004B259B"/>
    <w:rsid w:val="004B6892"/>
    <w:rsid w:val="004C39F7"/>
    <w:rsid w:val="004C5858"/>
    <w:rsid w:val="004D0876"/>
    <w:rsid w:val="004D3F6F"/>
    <w:rsid w:val="004E467D"/>
    <w:rsid w:val="004F2179"/>
    <w:rsid w:val="005417B9"/>
    <w:rsid w:val="005443C1"/>
    <w:rsid w:val="00556C41"/>
    <w:rsid w:val="00562330"/>
    <w:rsid w:val="005678C4"/>
    <w:rsid w:val="005742FD"/>
    <w:rsid w:val="00574A41"/>
    <w:rsid w:val="00581951"/>
    <w:rsid w:val="00590028"/>
    <w:rsid w:val="005C4BA7"/>
    <w:rsid w:val="005D3D24"/>
    <w:rsid w:val="005F0A4F"/>
    <w:rsid w:val="005F28EC"/>
    <w:rsid w:val="00611169"/>
    <w:rsid w:val="0062397F"/>
    <w:rsid w:val="006307F5"/>
    <w:rsid w:val="00632104"/>
    <w:rsid w:val="00667AFB"/>
    <w:rsid w:val="00674CC9"/>
    <w:rsid w:val="00692BBA"/>
    <w:rsid w:val="006A05A2"/>
    <w:rsid w:val="006C26FF"/>
    <w:rsid w:val="006C67D7"/>
    <w:rsid w:val="006D2C30"/>
    <w:rsid w:val="006E05C3"/>
    <w:rsid w:val="006E0996"/>
    <w:rsid w:val="006E5DEE"/>
    <w:rsid w:val="007026E5"/>
    <w:rsid w:val="00726BF3"/>
    <w:rsid w:val="00734678"/>
    <w:rsid w:val="007374D2"/>
    <w:rsid w:val="00745D38"/>
    <w:rsid w:val="00755F39"/>
    <w:rsid w:val="0076535A"/>
    <w:rsid w:val="007667F6"/>
    <w:rsid w:val="00785DF0"/>
    <w:rsid w:val="007A0B1E"/>
    <w:rsid w:val="007B1836"/>
    <w:rsid w:val="007B3779"/>
    <w:rsid w:val="007C57B7"/>
    <w:rsid w:val="007D0906"/>
    <w:rsid w:val="007F0F15"/>
    <w:rsid w:val="007F211A"/>
    <w:rsid w:val="00807274"/>
    <w:rsid w:val="00813D7F"/>
    <w:rsid w:val="00813E90"/>
    <w:rsid w:val="00823ED5"/>
    <w:rsid w:val="00827B32"/>
    <w:rsid w:val="00837C1B"/>
    <w:rsid w:val="008443BC"/>
    <w:rsid w:val="00867B47"/>
    <w:rsid w:val="00884B71"/>
    <w:rsid w:val="00885B2B"/>
    <w:rsid w:val="0089796F"/>
    <w:rsid w:val="008A752C"/>
    <w:rsid w:val="008C4E9B"/>
    <w:rsid w:val="008D4DEB"/>
    <w:rsid w:val="008E0003"/>
    <w:rsid w:val="008E0A40"/>
    <w:rsid w:val="008E7E49"/>
    <w:rsid w:val="00902FB4"/>
    <w:rsid w:val="0091080B"/>
    <w:rsid w:val="00910DE1"/>
    <w:rsid w:val="009156E1"/>
    <w:rsid w:val="0093342E"/>
    <w:rsid w:val="009458A5"/>
    <w:rsid w:val="0095408E"/>
    <w:rsid w:val="00954B7F"/>
    <w:rsid w:val="0097144B"/>
    <w:rsid w:val="009D00EA"/>
    <w:rsid w:val="009D6F96"/>
    <w:rsid w:val="009E4561"/>
    <w:rsid w:val="00A05365"/>
    <w:rsid w:val="00A26DE7"/>
    <w:rsid w:val="00A44EAC"/>
    <w:rsid w:val="00A516AF"/>
    <w:rsid w:val="00A71C19"/>
    <w:rsid w:val="00A87ECF"/>
    <w:rsid w:val="00A95166"/>
    <w:rsid w:val="00AA14A6"/>
    <w:rsid w:val="00AA353D"/>
    <w:rsid w:val="00AA45AF"/>
    <w:rsid w:val="00AB01FD"/>
    <w:rsid w:val="00AB2D12"/>
    <w:rsid w:val="00AB55C2"/>
    <w:rsid w:val="00AC2774"/>
    <w:rsid w:val="00AC5947"/>
    <w:rsid w:val="00AC69C6"/>
    <w:rsid w:val="00AF7D75"/>
    <w:rsid w:val="00B03753"/>
    <w:rsid w:val="00B24F65"/>
    <w:rsid w:val="00B25FE5"/>
    <w:rsid w:val="00B4521A"/>
    <w:rsid w:val="00B45404"/>
    <w:rsid w:val="00B47836"/>
    <w:rsid w:val="00B51F4D"/>
    <w:rsid w:val="00B5460F"/>
    <w:rsid w:val="00B55560"/>
    <w:rsid w:val="00B5680D"/>
    <w:rsid w:val="00B62270"/>
    <w:rsid w:val="00BB1972"/>
    <w:rsid w:val="00BB5EBB"/>
    <w:rsid w:val="00BC5583"/>
    <w:rsid w:val="00BC7993"/>
    <w:rsid w:val="00BE16D1"/>
    <w:rsid w:val="00BE2AC0"/>
    <w:rsid w:val="00BF2C19"/>
    <w:rsid w:val="00BF2C80"/>
    <w:rsid w:val="00BF78B0"/>
    <w:rsid w:val="00C11974"/>
    <w:rsid w:val="00C14FB3"/>
    <w:rsid w:val="00C15095"/>
    <w:rsid w:val="00C20834"/>
    <w:rsid w:val="00C3330C"/>
    <w:rsid w:val="00C34D4E"/>
    <w:rsid w:val="00C619E3"/>
    <w:rsid w:val="00C6308B"/>
    <w:rsid w:val="00C64DC4"/>
    <w:rsid w:val="00C819AF"/>
    <w:rsid w:val="00C96225"/>
    <w:rsid w:val="00CE6332"/>
    <w:rsid w:val="00D0024F"/>
    <w:rsid w:val="00D10B07"/>
    <w:rsid w:val="00D165D8"/>
    <w:rsid w:val="00D24B6C"/>
    <w:rsid w:val="00D403A5"/>
    <w:rsid w:val="00D461AF"/>
    <w:rsid w:val="00D6001D"/>
    <w:rsid w:val="00D60830"/>
    <w:rsid w:val="00D74906"/>
    <w:rsid w:val="00D80BE3"/>
    <w:rsid w:val="00D86F45"/>
    <w:rsid w:val="00D879DF"/>
    <w:rsid w:val="00DA05FB"/>
    <w:rsid w:val="00DA5C2D"/>
    <w:rsid w:val="00DC073E"/>
    <w:rsid w:val="00DC2C46"/>
    <w:rsid w:val="00DD1859"/>
    <w:rsid w:val="00DD537D"/>
    <w:rsid w:val="00DF618F"/>
    <w:rsid w:val="00E02516"/>
    <w:rsid w:val="00E03178"/>
    <w:rsid w:val="00E03E53"/>
    <w:rsid w:val="00E22263"/>
    <w:rsid w:val="00E31B57"/>
    <w:rsid w:val="00E3704B"/>
    <w:rsid w:val="00E64ED1"/>
    <w:rsid w:val="00E67AC3"/>
    <w:rsid w:val="00E70F52"/>
    <w:rsid w:val="00E750C3"/>
    <w:rsid w:val="00E83E6E"/>
    <w:rsid w:val="00E91384"/>
    <w:rsid w:val="00EA0201"/>
    <w:rsid w:val="00ED0984"/>
    <w:rsid w:val="00ED2C0A"/>
    <w:rsid w:val="00EE335A"/>
    <w:rsid w:val="00EF314D"/>
    <w:rsid w:val="00F03587"/>
    <w:rsid w:val="00F312B7"/>
    <w:rsid w:val="00F318A6"/>
    <w:rsid w:val="00F537C8"/>
    <w:rsid w:val="00F609C5"/>
    <w:rsid w:val="00F810DE"/>
    <w:rsid w:val="00F8535F"/>
    <w:rsid w:val="00F85697"/>
    <w:rsid w:val="00FB181F"/>
    <w:rsid w:val="00FB2393"/>
    <w:rsid w:val="00FB581D"/>
    <w:rsid w:val="00FD359F"/>
    <w:rsid w:val="00FF0252"/>
    <w:rsid w:val="00FF043B"/>
    <w:rsid w:val="01113755"/>
    <w:rsid w:val="01B12662"/>
    <w:rsid w:val="0312176E"/>
    <w:rsid w:val="033DB42A"/>
    <w:rsid w:val="03F8C2D7"/>
    <w:rsid w:val="04AD1E81"/>
    <w:rsid w:val="09545B70"/>
    <w:rsid w:val="09FF2B65"/>
    <w:rsid w:val="0AB9488B"/>
    <w:rsid w:val="0D6567D8"/>
    <w:rsid w:val="0D7D9416"/>
    <w:rsid w:val="0E23DB1C"/>
    <w:rsid w:val="0EB06443"/>
    <w:rsid w:val="0FB293F3"/>
    <w:rsid w:val="10E42A98"/>
    <w:rsid w:val="14479AE7"/>
    <w:rsid w:val="1641F9D3"/>
    <w:rsid w:val="188176EC"/>
    <w:rsid w:val="1A4C3D0D"/>
    <w:rsid w:val="1B2276ED"/>
    <w:rsid w:val="1BC02F58"/>
    <w:rsid w:val="1D2B7662"/>
    <w:rsid w:val="1FC68DA9"/>
    <w:rsid w:val="224D3758"/>
    <w:rsid w:val="24A34C1D"/>
    <w:rsid w:val="2526E107"/>
    <w:rsid w:val="258E95A5"/>
    <w:rsid w:val="2C86F026"/>
    <w:rsid w:val="2CFA782E"/>
    <w:rsid w:val="2DAB3C70"/>
    <w:rsid w:val="2E43E007"/>
    <w:rsid w:val="2E8D91BB"/>
    <w:rsid w:val="2EF895C0"/>
    <w:rsid w:val="31DF6191"/>
    <w:rsid w:val="3534E575"/>
    <w:rsid w:val="36177829"/>
    <w:rsid w:val="3689C6A9"/>
    <w:rsid w:val="3762CDA8"/>
    <w:rsid w:val="38B60FB2"/>
    <w:rsid w:val="39C1CC12"/>
    <w:rsid w:val="3BB732D0"/>
    <w:rsid w:val="3DA80607"/>
    <w:rsid w:val="4418E5BA"/>
    <w:rsid w:val="46C9294F"/>
    <w:rsid w:val="48080954"/>
    <w:rsid w:val="4941BF55"/>
    <w:rsid w:val="4AD8D4F1"/>
    <w:rsid w:val="4B60BEFE"/>
    <w:rsid w:val="4B7BACC8"/>
    <w:rsid w:val="4BF69576"/>
    <w:rsid w:val="4FD37687"/>
    <w:rsid w:val="51B7D53F"/>
    <w:rsid w:val="53176585"/>
    <w:rsid w:val="53B0FAA3"/>
    <w:rsid w:val="54F4D2D6"/>
    <w:rsid w:val="56DC8A92"/>
    <w:rsid w:val="5E62CF00"/>
    <w:rsid w:val="611F5EDB"/>
    <w:rsid w:val="62DFDB8C"/>
    <w:rsid w:val="63133202"/>
    <w:rsid w:val="65A8B9A3"/>
    <w:rsid w:val="65C117B7"/>
    <w:rsid w:val="662F1019"/>
    <w:rsid w:val="665CD7E4"/>
    <w:rsid w:val="667BC1BD"/>
    <w:rsid w:val="6744B23D"/>
    <w:rsid w:val="69D1830A"/>
    <w:rsid w:val="6BAD1F5B"/>
    <w:rsid w:val="6CA04AD6"/>
    <w:rsid w:val="6DBF1212"/>
    <w:rsid w:val="6E92EF0D"/>
    <w:rsid w:val="7634F52B"/>
    <w:rsid w:val="78F37F3A"/>
    <w:rsid w:val="795B8DE7"/>
    <w:rsid w:val="7997368A"/>
    <w:rsid w:val="7B3B8AEE"/>
    <w:rsid w:val="7B8DCC38"/>
    <w:rsid w:val="7C125C46"/>
    <w:rsid w:val="7CEB9616"/>
    <w:rsid w:val="7D5A58C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AD2BC"/>
  <w15:chartTrackingRefBased/>
  <w15:docId w15:val="{CB0BD5BB-DAA1-4E4A-9AB7-CB732CD17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Paragraphedeliste"/>
    <w:next w:val="Normal"/>
    <w:link w:val="Titre1Car"/>
    <w:uiPriority w:val="9"/>
    <w:qFormat/>
    <w:rsid w:val="00297CBA"/>
    <w:pPr>
      <w:numPr>
        <w:numId w:val="1"/>
      </w:numPr>
      <w:spacing w:after="240" w:line="240" w:lineRule="auto"/>
      <w:contextualSpacing w:val="0"/>
      <w:jc w:val="both"/>
      <w:outlineLvl w:val="0"/>
    </w:pPr>
    <w:rPr>
      <w:rFonts w:eastAsia="Times New Roman" w:cs="Times New Roman"/>
      <w:b/>
      <w:smallCaps/>
      <w:color w:val="002060"/>
      <w:szCs w:val="24"/>
      <w:lang w:eastAsia="fr-FR"/>
    </w:rPr>
  </w:style>
  <w:style w:type="paragraph" w:styleId="Titre2">
    <w:name w:val="heading 2"/>
    <w:basedOn w:val="Paragraphedeliste"/>
    <w:next w:val="Normal"/>
    <w:link w:val="Titre2Car"/>
    <w:uiPriority w:val="9"/>
    <w:unhideWhenUsed/>
    <w:qFormat/>
    <w:rsid w:val="00297CBA"/>
    <w:pPr>
      <w:numPr>
        <w:numId w:val="2"/>
      </w:numPr>
      <w:spacing w:after="240" w:line="240" w:lineRule="auto"/>
      <w:contextualSpacing w:val="0"/>
      <w:jc w:val="both"/>
      <w:outlineLvl w:val="1"/>
    </w:pPr>
    <w:rPr>
      <w:rFonts w:eastAsia="Times New Roman" w:cs="Times New Roman"/>
      <w:b/>
      <w:color w:val="002060"/>
      <w:szCs w:val="24"/>
      <w:lang w:eastAsia="fr-FR"/>
    </w:rPr>
  </w:style>
  <w:style w:type="paragraph" w:styleId="Titre3">
    <w:name w:val="heading 3"/>
    <w:basedOn w:val="Titre2"/>
    <w:next w:val="Corps"/>
    <w:link w:val="Titre3Car"/>
    <w:uiPriority w:val="9"/>
    <w:unhideWhenUsed/>
    <w:qFormat/>
    <w:rsid w:val="002C1994"/>
    <w:pPr>
      <w:numPr>
        <w:ilvl w:val="1"/>
        <w:numId w:val="3"/>
      </w:numPr>
      <w:outlineLvl w:val="2"/>
    </w:pPr>
  </w:style>
  <w:style w:type="paragraph" w:styleId="Titre4">
    <w:name w:val="heading 4"/>
    <w:basedOn w:val="Paragraphedeliste"/>
    <w:next w:val="Normal"/>
    <w:link w:val="Titre4Car"/>
    <w:uiPriority w:val="9"/>
    <w:unhideWhenUsed/>
    <w:qFormat/>
    <w:rsid w:val="002C1994"/>
    <w:pPr>
      <w:numPr>
        <w:numId w:val="4"/>
      </w:numPr>
      <w:spacing w:after="180"/>
      <w:contextualSpacing w:val="0"/>
      <w:jc w:val="both"/>
      <w:outlineLvl w:val="3"/>
    </w:pPr>
    <w:rPr>
      <w:rFonts w:eastAsia="Times New Roman" w:cs="Times New Roman"/>
      <w:b/>
      <w:color w:val="000000"/>
      <w:szCs w:val="24"/>
      <w:lang w:eastAsia="fr-FR"/>
    </w:rPr>
  </w:style>
  <w:style w:type="paragraph" w:styleId="Titre5">
    <w:name w:val="heading 5"/>
    <w:basedOn w:val="Paragraphedeliste"/>
    <w:next w:val="Normal"/>
    <w:link w:val="Titre5Car"/>
    <w:uiPriority w:val="9"/>
    <w:unhideWhenUsed/>
    <w:qFormat/>
    <w:rsid w:val="002C1994"/>
    <w:pPr>
      <w:ind w:left="0"/>
      <w:outlineLvl w:val="4"/>
    </w:pPr>
    <w:rPr>
      <w:b/>
      <w:i/>
    </w:rPr>
  </w:style>
  <w:style w:type="paragraph" w:styleId="Titre6">
    <w:name w:val="heading 6"/>
    <w:basedOn w:val="Titre5"/>
    <w:next w:val="Normal"/>
    <w:link w:val="Titre6Car"/>
    <w:uiPriority w:val="9"/>
    <w:unhideWhenUsed/>
    <w:qFormat/>
    <w:rsid w:val="002C1994"/>
    <w:pPr>
      <w:numPr>
        <w:numId w:val="5"/>
      </w:numPr>
      <w:tabs>
        <w:tab w:val="num" w:pos="360"/>
      </w:tabs>
      <w:outlineLvl w:val="5"/>
    </w:pPr>
    <w:rPr>
      <w:b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00EA"/>
    <w:pPr>
      <w:tabs>
        <w:tab w:val="center" w:pos="4252"/>
        <w:tab w:val="right" w:pos="8504"/>
      </w:tabs>
    </w:pPr>
  </w:style>
  <w:style w:type="character" w:customStyle="1" w:styleId="En-tteCar">
    <w:name w:val="En-tête Car"/>
    <w:basedOn w:val="Policepardfaut"/>
    <w:link w:val="En-tte"/>
    <w:uiPriority w:val="99"/>
    <w:rsid w:val="009D00EA"/>
  </w:style>
  <w:style w:type="paragraph" w:styleId="Pieddepage">
    <w:name w:val="footer"/>
    <w:basedOn w:val="Normal"/>
    <w:link w:val="PieddepageCar"/>
    <w:uiPriority w:val="99"/>
    <w:unhideWhenUsed/>
    <w:rsid w:val="009D00EA"/>
    <w:pPr>
      <w:tabs>
        <w:tab w:val="center" w:pos="4252"/>
        <w:tab w:val="right" w:pos="8504"/>
      </w:tabs>
    </w:pPr>
  </w:style>
  <w:style w:type="character" w:customStyle="1" w:styleId="PieddepageCar">
    <w:name w:val="Pied de page Car"/>
    <w:basedOn w:val="Policepardfaut"/>
    <w:link w:val="Pieddepage"/>
    <w:uiPriority w:val="99"/>
    <w:rsid w:val="009D00EA"/>
  </w:style>
  <w:style w:type="table" w:styleId="Grilledutableau">
    <w:name w:val="Table Grid"/>
    <w:basedOn w:val="TableauNormal"/>
    <w:uiPriority w:val="39"/>
    <w:rsid w:val="00455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297CBA"/>
    <w:rPr>
      <w:rFonts w:ascii="Times New Roman" w:eastAsia="Times New Roman" w:hAnsi="Times New Roman" w:cs="Times New Roman"/>
      <w:b/>
      <w:smallCaps/>
      <w:color w:val="002060"/>
      <w:lang w:val="fr-FR" w:eastAsia="fr-FR"/>
    </w:rPr>
  </w:style>
  <w:style w:type="character" w:customStyle="1" w:styleId="Titre2Car">
    <w:name w:val="Titre 2 Car"/>
    <w:basedOn w:val="Policepardfaut"/>
    <w:link w:val="Titre2"/>
    <w:uiPriority w:val="9"/>
    <w:rsid w:val="00297CBA"/>
    <w:rPr>
      <w:rFonts w:ascii="Times New Roman" w:eastAsia="Times New Roman" w:hAnsi="Times New Roman" w:cs="Times New Roman"/>
      <w:b/>
      <w:color w:val="002060"/>
      <w:lang w:val="fr-FR" w:eastAsia="fr-FR"/>
    </w:rPr>
  </w:style>
  <w:style w:type="paragraph" w:styleId="Paragraphedeliste">
    <w:name w:val="List Paragraph"/>
    <w:basedOn w:val="Normal"/>
    <w:uiPriority w:val="34"/>
    <w:qFormat/>
    <w:rsid w:val="00297CBA"/>
    <w:pPr>
      <w:spacing w:after="200" w:line="276" w:lineRule="auto"/>
      <w:ind w:left="720"/>
      <w:contextualSpacing/>
    </w:pPr>
    <w:rPr>
      <w:rFonts w:ascii="Times New Roman" w:hAnsi="Times New Roman"/>
      <w:szCs w:val="22"/>
      <w:lang w:val="fr-FR"/>
    </w:rPr>
  </w:style>
  <w:style w:type="character" w:customStyle="1" w:styleId="Aucun">
    <w:name w:val="Aucun"/>
    <w:qFormat/>
    <w:rsid w:val="00297CBA"/>
    <w:rPr>
      <w:rFonts w:ascii="Times New Roman" w:hAnsi="Times New Roman" w:cs="Times New Roman"/>
      <w:sz w:val="24"/>
    </w:rPr>
  </w:style>
  <w:style w:type="character" w:styleId="Marquedecommentaire">
    <w:name w:val="annotation reference"/>
    <w:basedOn w:val="Policepardfaut"/>
    <w:uiPriority w:val="99"/>
    <w:semiHidden/>
    <w:unhideWhenUsed/>
    <w:rsid w:val="00297CBA"/>
    <w:rPr>
      <w:sz w:val="16"/>
      <w:szCs w:val="16"/>
    </w:rPr>
  </w:style>
  <w:style w:type="paragraph" w:styleId="Commentaire">
    <w:name w:val="annotation text"/>
    <w:basedOn w:val="Normal"/>
    <w:link w:val="CommentaireCar"/>
    <w:uiPriority w:val="99"/>
    <w:unhideWhenUsed/>
    <w:rsid w:val="00297CBA"/>
    <w:pPr>
      <w:spacing w:after="180"/>
      <w:jc w:val="both"/>
    </w:pPr>
    <w:rPr>
      <w:rFonts w:ascii="Times New Roman" w:hAnsi="Times New Roman"/>
      <w:sz w:val="20"/>
      <w:szCs w:val="20"/>
      <w:lang w:val="fr-FR"/>
    </w:rPr>
  </w:style>
  <w:style w:type="character" w:customStyle="1" w:styleId="CommentaireCar">
    <w:name w:val="Commentaire Car"/>
    <w:basedOn w:val="Policepardfaut"/>
    <w:link w:val="Commentaire"/>
    <w:uiPriority w:val="99"/>
    <w:rsid w:val="00297CBA"/>
    <w:rPr>
      <w:rFonts w:ascii="Times New Roman" w:hAnsi="Times New Roman"/>
      <w:sz w:val="20"/>
      <w:szCs w:val="20"/>
      <w:lang w:val="fr-FR"/>
    </w:rPr>
  </w:style>
  <w:style w:type="character" w:customStyle="1" w:styleId="Titre3Car">
    <w:name w:val="Titre 3 Car"/>
    <w:basedOn w:val="Policepardfaut"/>
    <w:link w:val="Titre3"/>
    <w:uiPriority w:val="9"/>
    <w:rsid w:val="002C1994"/>
    <w:rPr>
      <w:rFonts w:ascii="Times New Roman" w:eastAsia="Times New Roman" w:hAnsi="Times New Roman" w:cs="Times New Roman"/>
      <w:b/>
      <w:color w:val="002060"/>
      <w:lang w:val="fr-FR" w:eastAsia="fr-FR"/>
    </w:rPr>
  </w:style>
  <w:style w:type="character" w:customStyle="1" w:styleId="Titre4Car">
    <w:name w:val="Titre 4 Car"/>
    <w:basedOn w:val="Policepardfaut"/>
    <w:link w:val="Titre4"/>
    <w:uiPriority w:val="9"/>
    <w:rsid w:val="002C1994"/>
    <w:rPr>
      <w:rFonts w:ascii="Times New Roman" w:eastAsia="Times New Roman" w:hAnsi="Times New Roman" w:cs="Times New Roman"/>
      <w:b/>
      <w:color w:val="000000"/>
      <w:lang w:val="fr-FR" w:eastAsia="fr-FR"/>
    </w:rPr>
  </w:style>
  <w:style w:type="character" w:customStyle="1" w:styleId="Titre5Car">
    <w:name w:val="Titre 5 Car"/>
    <w:basedOn w:val="Policepardfaut"/>
    <w:link w:val="Titre5"/>
    <w:uiPriority w:val="9"/>
    <w:rsid w:val="002C1994"/>
    <w:rPr>
      <w:rFonts w:ascii="Times New Roman" w:hAnsi="Times New Roman"/>
      <w:b/>
      <w:i/>
      <w:szCs w:val="22"/>
      <w:lang w:val="fr-FR"/>
    </w:rPr>
  </w:style>
  <w:style w:type="character" w:customStyle="1" w:styleId="Titre6Car">
    <w:name w:val="Titre 6 Car"/>
    <w:basedOn w:val="Policepardfaut"/>
    <w:link w:val="Titre6"/>
    <w:uiPriority w:val="9"/>
    <w:rsid w:val="002C1994"/>
    <w:rPr>
      <w:rFonts w:ascii="Times New Roman" w:hAnsi="Times New Roman"/>
      <w:i/>
      <w:szCs w:val="22"/>
      <w:lang w:val="fr-FR"/>
    </w:rPr>
  </w:style>
  <w:style w:type="paragraph" w:styleId="Notedebasdepage">
    <w:name w:val="footnote text"/>
    <w:aliases w:val="note bas de page,Fußnotentext wam,Footnote Text Char2 Char,Footnote Text Char Char Char1,Footnote Text Char1 Char Char Char,Footnote Text Char2 Char Char Char Char,Footnote Text Char1 Char1 Char Char Char Char,ft,Fußnotentext Char,fn"/>
    <w:basedOn w:val="Normal"/>
    <w:link w:val="NotedebasdepageCar"/>
    <w:uiPriority w:val="99"/>
    <w:unhideWhenUsed/>
    <w:qFormat/>
    <w:rsid w:val="002C1994"/>
    <w:rPr>
      <w:rFonts w:ascii="Times New Roman" w:hAnsi="Times New Roman"/>
      <w:sz w:val="20"/>
      <w:szCs w:val="20"/>
      <w:lang w:val="fr-FR"/>
    </w:rPr>
  </w:style>
  <w:style w:type="character" w:customStyle="1" w:styleId="NotedebasdepageCar">
    <w:name w:val="Note de bas de page Car"/>
    <w:aliases w:val="note bas de page Car,Fußnotentext wam Car,Footnote Text Char2 Char Car,Footnote Text Char Char Char1 Car,Footnote Text Char1 Char Char Char Car,Footnote Text Char2 Char Char Char Char Car,ft Car,Fußnotentext Char Car,fn Car"/>
    <w:basedOn w:val="Policepardfaut"/>
    <w:link w:val="Notedebasdepage"/>
    <w:uiPriority w:val="99"/>
    <w:qFormat/>
    <w:rsid w:val="002C1994"/>
    <w:rPr>
      <w:rFonts w:ascii="Times New Roman" w:hAnsi="Times New Roman"/>
      <w:sz w:val="20"/>
      <w:szCs w:val="20"/>
      <w:lang w:val="fr-FR"/>
    </w:rPr>
  </w:style>
  <w:style w:type="character" w:styleId="Appelnotedebasdep">
    <w:name w:val="footnote reference"/>
    <w:aliases w:val="Footnote number,Footnote symbol,fr,o,Ref,de nota al pie,FZ,Footnote call,BVI fnr,SUPERS,(Footnote Reference),Footnote,Voetnootverwijzing,Times 10 Point,Exposant 3 Point,Footnote reference number,note TESI,stylish,16 Point,E FNZ,4"/>
    <w:basedOn w:val="Policepardfaut"/>
    <w:uiPriority w:val="99"/>
    <w:unhideWhenUsed/>
    <w:qFormat/>
    <w:rsid w:val="002C1994"/>
    <w:rPr>
      <w:vertAlign w:val="superscript"/>
    </w:rPr>
  </w:style>
  <w:style w:type="character" w:styleId="Lienhypertexte">
    <w:name w:val="Hyperlink"/>
    <w:basedOn w:val="Policepardfaut"/>
    <w:uiPriority w:val="99"/>
    <w:unhideWhenUsed/>
    <w:rsid w:val="002C1994"/>
    <w:rPr>
      <w:color w:val="0563C1" w:themeColor="hyperlink"/>
      <w:u w:val="single"/>
    </w:rPr>
  </w:style>
  <w:style w:type="character" w:styleId="Numrodepage">
    <w:name w:val="page number"/>
    <w:basedOn w:val="Policepardfaut"/>
    <w:uiPriority w:val="99"/>
    <w:semiHidden/>
    <w:unhideWhenUsed/>
    <w:rsid w:val="002C1994"/>
  </w:style>
  <w:style w:type="paragraph" w:customStyle="1" w:styleId="paragraph">
    <w:name w:val="paragraph"/>
    <w:basedOn w:val="Normal"/>
    <w:rsid w:val="002C1994"/>
    <w:pPr>
      <w:spacing w:before="100" w:beforeAutospacing="1" w:after="100" w:afterAutospacing="1"/>
    </w:pPr>
    <w:rPr>
      <w:rFonts w:ascii="Times New Roman" w:hAnsi="Times New Roman" w:cs="Times New Roman"/>
      <w:sz w:val="20"/>
      <w:szCs w:val="20"/>
      <w:lang w:val="fr-FR"/>
    </w:rPr>
  </w:style>
  <w:style w:type="character" w:customStyle="1" w:styleId="normaltextrun">
    <w:name w:val="normaltextrun"/>
    <w:basedOn w:val="Policepardfaut"/>
    <w:rsid w:val="002C1994"/>
  </w:style>
  <w:style w:type="character" w:customStyle="1" w:styleId="eop">
    <w:name w:val="eop"/>
    <w:basedOn w:val="Policepardfaut"/>
    <w:rsid w:val="002C1994"/>
  </w:style>
  <w:style w:type="character" w:customStyle="1" w:styleId="Hyperlink0">
    <w:name w:val="Hyperlink.0"/>
    <w:basedOn w:val="Aucun"/>
    <w:rsid w:val="002C1994"/>
    <w:rPr>
      <w:rFonts w:ascii="Garamond" w:eastAsia="Garamond" w:hAnsi="Garamond" w:cs="Garamond"/>
      <w:i/>
      <w:iCs/>
      <w:sz w:val="20"/>
      <w:szCs w:val="20"/>
    </w:rPr>
  </w:style>
  <w:style w:type="character" w:customStyle="1" w:styleId="Ancredenotedebasdepage">
    <w:name w:val="Ancre de note de bas de page"/>
    <w:rsid w:val="002C1994"/>
    <w:rPr>
      <w:vertAlign w:val="superscript"/>
    </w:rPr>
  </w:style>
  <w:style w:type="character" w:customStyle="1" w:styleId="Caractresdenotedebasdepage">
    <w:name w:val="Caractères de note de bas de page"/>
    <w:qFormat/>
    <w:rsid w:val="002C1994"/>
  </w:style>
  <w:style w:type="paragraph" w:customStyle="1" w:styleId="Corps">
    <w:name w:val="Corps"/>
    <w:qFormat/>
    <w:rsid w:val="002C1994"/>
    <w:pPr>
      <w:suppressAutoHyphens/>
    </w:pPr>
    <w:rPr>
      <w:rFonts w:ascii="Times New Roman" w:eastAsia="Times New Roman" w:hAnsi="Times New Roman" w:cs="Times New Roman"/>
      <w:color w:val="000000"/>
      <w:u w:color="000000"/>
      <w:lang w:val="fr-FR" w:eastAsia="fr-FR"/>
      <w14:textOutline w14:w="0" w14:cap="flat" w14:cmpd="sng" w14:algn="ctr">
        <w14:noFill/>
        <w14:prstDash w14:val="solid"/>
        <w14:bevel/>
      </w14:textOutline>
    </w:rPr>
  </w:style>
  <w:style w:type="character" w:customStyle="1" w:styleId="Hyperlink7">
    <w:name w:val="Hyperlink.7"/>
    <w:basedOn w:val="Policepardfaut"/>
    <w:qFormat/>
    <w:rsid w:val="002C1994"/>
    <w:rPr>
      <w:rFonts w:ascii="Garamond" w:eastAsia="Garamond" w:hAnsi="Garamond" w:cs="Garamond"/>
      <w:outline w:val="0"/>
      <w:color w:val="0563C1"/>
      <w:sz w:val="20"/>
      <w:szCs w:val="20"/>
      <w:u w:val="single" w:color="0563C1"/>
      <w:lang w:val="en-US"/>
    </w:rPr>
  </w:style>
  <w:style w:type="character" w:customStyle="1" w:styleId="Hyperlink1">
    <w:name w:val="Hyperlink.1"/>
    <w:basedOn w:val="Policepardfaut"/>
    <w:qFormat/>
    <w:rsid w:val="002C1994"/>
    <w:rPr>
      <w:rFonts w:ascii="Garamond" w:eastAsia="Garamond" w:hAnsi="Garamond" w:cs="Garamond"/>
      <w:outline w:val="0"/>
      <w:color w:val="0563C1"/>
      <w:u w:val="single" w:color="0563C1"/>
    </w:rPr>
  </w:style>
  <w:style w:type="character" w:customStyle="1" w:styleId="Reference">
    <w:name w:val="Reference"/>
    <w:uiPriority w:val="1"/>
    <w:qFormat/>
    <w:rsid w:val="002C1994"/>
    <w:rPr>
      <w:color w:val="A6A6A6"/>
      <w:bdr w:val="none" w:sz="0" w:space="0" w:color="auto"/>
      <w:shd w:val="clear" w:color="auto" w:fill="auto"/>
    </w:rPr>
  </w:style>
  <w:style w:type="character" w:styleId="Mentionnonrsolue">
    <w:name w:val="Unresolved Mention"/>
    <w:basedOn w:val="Policepardfaut"/>
    <w:uiPriority w:val="99"/>
    <w:semiHidden/>
    <w:unhideWhenUsed/>
    <w:rsid w:val="002C1994"/>
    <w:rPr>
      <w:color w:val="605E5C"/>
      <w:shd w:val="clear" w:color="auto" w:fill="E1DFDD"/>
    </w:rPr>
  </w:style>
  <w:style w:type="character" w:styleId="Lienhypertextesuivivisit">
    <w:name w:val="FollowedHyperlink"/>
    <w:basedOn w:val="Policepardfaut"/>
    <w:uiPriority w:val="99"/>
    <w:semiHidden/>
    <w:unhideWhenUsed/>
    <w:rsid w:val="002C1994"/>
    <w:rPr>
      <w:color w:val="954F72" w:themeColor="followedHyperlink"/>
      <w:u w:val="single"/>
    </w:rPr>
  </w:style>
  <w:style w:type="paragraph" w:styleId="NormalWeb">
    <w:name w:val="Normal (Web)"/>
    <w:basedOn w:val="Normal"/>
    <w:uiPriority w:val="99"/>
    <w:semiHidden/>
    <w:unhideWhenUsed/>
    <w:rsid w:val="002C1994"/>
    <w:pPr>
      <w:spacing w:after="180"/>
      <w:jc w:val="both"/>
    </w:pPr>
    <w:rPr>
      <w:rFonts w:ascii="Times New Roman" w:hAnsi="Times New Roman" w:cs="Times New Roman"/>
      <w:lang w:val="fr-FR"/>
    </w:rPr>
  </w:style>
  <w:style w:type="paragraph" w:styleId="Objetducommentaire">
    <w:name w:val="annotation subject"/>
    <w:basedOn w:val="Commentaire"/>
    <w:next w:val="Commentaire"/>
    <w:link w:val="ObjetducommentaireCar"/>
    <w:uiPriority w:val="99"/>
    <w:semiHidden/>
    <w:unhideWhenUsed/>
    <w:rsid w:val="002C1994"/>
    <w:rPr>
      <w:b/>
      <w:bCs/>
    </w:rPr>
  </w:style>
  <w:style w:type="character" w:customStyle="1" w:styleId="ObjetducommentaireCar">
    <w:name w:val="Objet du commentaire Car"/>
    <w:basedOn w:val="CommentaireCar"/>
    <w:link w:val="Objetducommentaire"/>
    <w:uiPriority w:val="99"/>
    <w:semiHidden/>
    <w:rsid w:val="002C1994"/>
    <w:rPr>
      <w:rFonts w:ascii="Times New Roman" w:hAnsi="Times New Roman"/>
      <w:b/>
      <w:bCs/>
      <w:sz w:val="20"/>
      <w:szCs w:val="20"/>
      <w:lang w:val="fr-FR"/>
    </w:rPr>
  </w:style>
  <w:style w:type="paragraph" w:styleId="Textedebulles">
    <w:name w:val="Balloon Text"/>
    <w:basedOn w:val="Normal"/>
    <w:link w:val="TextedebullesCar"/>
    <w:uiPriority w:val="99"/>
    <w:semiHidden/>
    <w:unhideWhenUsed/>
    <w:rsid w:val="002C1994"/>
    <w:pPr>
      <w:jc w:val="both"/>
    </w:pPr>
    <w:rPr>
      <w:rFonts w:ascii="Segoe UI" w:hAnsi="Segoe UI" w:cs="Segoe UI"/>
      <w:sz w:val="18"/>
      <w:szCs w:val="18"/>
      <w:lang w:val="fr-FR"/>
    </w:rPr>
  </w:style>
  <w:style w:type="character" w:customStyle="1" w:styleId="TextedebullesCar">
    <w:name w:val="Texte de bulles Car"/>
    <w:basedOn w:val="Policepardfaut"/>
    <w:link w:val="Textedebulles"/>
    <w:uiPriority w:val="99"/>
    <w:semiHidden/>
    <w:rsid w:val="002C1994"/>
    <w:rPr>
      <w:rFonts w:ascii="Segoe UI" w:hAnsi="Segoe UI" w:cs="Segoe UI"/>
      <w:sz w:val="18"/>
      <w:szCs w:val="18"/>
      <w:lang w:val="fr-FR"/>
    </w:rPr>
  </w:style>
  <w:style w:type="paragraph" w:customStyle="1" w:styleId="Default">
    <w:name w:val="Default"/>
    <w:rsid w:val="002C1994"/>
    <w:pPr>
      <w:autoSpaceDE w:val="0"/>
      <w:autoSpaceDN w:val="0"/>
      <w:adjustRightInd w:val="0"/>
    </w:pPr>
    <w:rPr>
      <w:rFonts w:ascii="Garamond" w:hAnsi="Garamond" w:cs="Garamond"/>
      <w:color w:val="000000"/>
      <w:lang w:val="fr-FR"/>
    </w:rPr>
  </w:style>
  <w:style w:type="paragraph" w:styleId="Rvision">
    <w:name w:val="Revision"/>
    <w:hidden/>
    <w:uiPriority w:val="99"/>
    <w:semiHidden/>
    <w:rsid w:val="002C1994"/>
    <w:rPr>
      <w:rFonts w:ascii="Times New Roman" w:hAnsi="Times New Roman"/>
      <w:szCs w:val="22"/>
      <w:lang w:val="fr-FR"/>
    </w:rPr>
  </w:style>
  <w:style w:type="paragraph" w:styleId="TM1">
    <w:name w:val="toc 1"/>
    <w:basedOn w:val="Normal"/>
    <w:next w:val="Normal"/>
    <w:autoRedefine/>
    <w:uiPriority w:val="39"/>
    <w:unhideWhenUsed/>
    <w:rsid w:val="002C1994"/>
    <w:pPr>
      <w:tabs>
        <w:tab w:val="right" w:leader="dot" w:pos="9056"/>
      </w:tabs>
      <w:spacing w:after="100"/>
      <w:jc w:val="both"/>
    </w:pPr>
    <w:rPr>
      <w:rFonts w:ascii="Times New Roman" w:hAnsi="Times New Roman"/>
      <w:b/>
      <w:bCs/>
      <w:noProof/>
      <w:szCs w:val="22"/>
      <w:lang w:val="fr-FR"/>
    </w:rPr>
  </w:style>
  <w:style w:type="paragraph" w:styleId="TM2">
    <w:name w:val="toc 2"/>
    <w:basedOn w:val="Normal"/>
    <w:next w:val="Normal"/>
    <w:autoRedefine/>
    <w:uiPriority w:val="39"/>
    <w:unhideWhenUsed/>
    <w:rsid w:val="002C1994"/>
    <w:pPr>
      <w:tabs>
        <w:tab w:val="left" w:pos="284"/>
        <w:tab w:val="left" w:pos="720"/>
        <w:tab w:val="right" w:leader="dot" w:pos="9056"/>
      </w:tabs>
      <w:spacing w:after="100"/>
      <w:jc w:val="both"/>
    </w:pPr>
    <w:rPr>
      <w:rFonts w:ascii="Times New Roman" w:hAnsi="Times New Roman"/>
      <w:b/>
      <w:bCs/>
      <w:smallCaps/>
      <w:noProof/>
      <w:szCs w:val="22"/>
      <w:lang w:val="fr-FR"/>
    </w:rPr>
  </w:style>
  <w:style w:type="paragraph" w:styleId="TM3">
    <w:name w:val="toc 3"/>
    <w:basedOn w:val="Normal"/>
    <w:next w:val="Normal"/>
    <w:autoRedefine/>
    <w:uiPriority w:val="39"/>
    <w:unhideWhenUsed/>
    <w:rsid w:val="00B4521A"/>
    <w:pPr>
      <w:tabs>
        <w:tab w:val="left" w:pos="1200"/>
        <w:tab w:val="right" w:leader="dot" w:pos="9638"/>
      </w:tabs>
      <w:spacing w:after="100"/>
      <w:ind w:left="1134" w:hanging="654"/>
      <w:jc w:val="both"/>
    </w:pPr>
    <w:rPr>
      <w:rFonts w:ascii="Times New Roman" w:hAnsi="Times New Roman"/>
      <w:szCs w:val="22"/>
      <w:lang w:val="fr-FR"/>
    </w:rPr>
  </w:style>
  <w:style w:type="paragraph" w:customStyle="1" w:styleId="oj-normal">
    <w:name w:val="oj-normal"/>
    <w:basedOn w:val="Normal"/>
    <w:rsid w:val="002C1994"/>
    <w:pPr>
      <w:spacing w:before="100" w:beforeAutospacing="1" w:after="100" w:afterAutospacing="1"/>
    </w:pPr>
    <w:rPr>
      <w:rFonts w:ascii="Times New Roman" w:eastAsia="Times New Roman" w:hAnsi="Times New Roman" w:cs="Times New Roman"/>
      <w:lang w:val="fr-FR" w:eastAsia="fr-FR"/>
    </w:rPr>
  </w:style>
  <w:style w:type="character" w:styleId="lev">
    <w:name w:val="Strong"/>
    <w:basedOn w:val="Policepardfaut"/>
    <w:uiPriority w:val="22"/>
    <w:qFormat/>
    <w:rsid w:val="002C1994"/>
    <w:rPr>
      <w:b/>
      <w:bCs/>
    </w:rPr>
  </w:style>
  <w:style w:type="character" w:styleId="Accentuation">
    <w:name w:val="Emphasis"/>
    <w:basedOn w:val="Policepardfaut"/>
    <w:uiPriority w:val="20"/>
    <w:qFormat/>
    <w:rsid w:val="002C1994"/>
    <w:rPr>
      <w:i/>
      <w:iCs/>
    </w:rPr>
  </w:style>
  <w:style w:type="table" w:styleId="TableauGrille2-Accentuation5">
    <w:name w:val="Grid Table 2 Accent 5"/>
    <w:basedOn w:val="TableauNormal"/>
    <w:uiPriority w:val="47"/>
    <w:rsid w:val="002C1994"/>
    <w:rPr>
      <w:lang w:val="fr-FR"/>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itre">
    <w:name w:val="Title"/>
    <w:basedOn w:val="Normal"/>
    <w:next w:val="Normal"/>
    <w:link w:val="TitreCar"/>
    <w:uiPriority w:val="10"/>
    <w:qFormat/>
    <w:rsid w:val="002C1994"/>
    <w:pPr>
      <w:autoSpaceDE w:val="0"/>
      <w:autoSpaceDN w:val="0"/>
      <w:adjustRightInd w:val="0"/>
      <w:ind w:left="698"/>
    </w:pPr>
    <w:rPr>
      <w:rFonts w:ascii="Times New Roman" w:hAnsi="Times New Roman" w:cs="Times New Roman"/>
      <w:lang w:val="fr-FR"/>
    </w:rPr>
  </w:style>
  <w:style w:type="character" w:customStyle="1" w:styleId="TitreCar">
    <w:name w:val="Titre Car"/>
    <w:basedOn w:val="Policepardfaut"/>
    <w:link w:val="Titre"/>
    <w:uiPriority w:val="10"/>
    <w:rsid w:val="002C1994"/>
    <w:rPr>
      <w:rFonts w:ascii="Times New Roman" w:hAnsi="Times New Roman" w:cs="Times New Roman"/>
      <w:lang w:val="fr-FR"/>
    </w:rPr>
  </w:style>
  <w:style w:type="paragraph" w:customStyle="1" w:styleId="SECCIONES">
    <w:name w:val="SECCIONES"/>
    <w:next w:val="Normal"/>
    <w:qFormat/>
    <w:rsid w:val="006E0996"/>
    <w:pPr>
      <w:numPr>
        <w:numId w:val="6"/>
      </w:numPr>
    </w:pPr>
    <w:rPr>
      <w:rFonts w:ascii="Open Sans" w:hAnsi="Open Sans" w:cs="Open Sans"/>
      <w:b/>
      <w:bCs/>
      <w:color w:val="000000" w:themeColor="text1"/>
      <w:shd w:val="clear" w:color="auto" w:fill="FFC700"/>
      <w:lang w:val="fr-FR"/>
    </w:rPr>
  </w:style>
  <w:style w:type="paragraph" w:styleId="TM4">
    <w:name w:val="toc 4"/>
    <w:basedOn w:val="Normal"/>
    <w:next w:val="Normal"/>
    <w:autoRedefine/>
    <w:uiPriority w:val="39"/>
    <w:unhideWhenUsed/>
    <w:rsid w:val="00B4521A"/>
    <w:pPr>
      <w:spacing w:after="100"/>
      <w:ind w:left="720"/>
    </w:pPr>
  </w:style>
  <w:style w:type="table" w:styleId="Grilledetableauclaire">
    <w:name w:val="Grid Table Light"/>
    <w:basedOn w:val="TableauNormal"/>
    <w:uiPriority w:val="40"/>
    <w:rsid w:val="006307F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1">
    <w:name w:val="Plain Table 1"/>
    <w:basedOn w:val="TableauNormal"/>
    <w:uiPriority w:val="41"/>
    <w:rsid w:val="006307F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b8d990e2">
    <w:name w:val="sb8d990e2"/>
    <w:basedOn w:val="Policepardfaut"/>
    <w:rsid w:val="008D4DEB"/>
  </w:style>
  <w:style w:type="character" w:customStyle="1" w:styleId="s7d2086b4">
    <w:name w:val="s7d2086b4"/>
    <w:basedOn w:val="Policepardfaut"/>
    <w:rsid w:val="008D4DEB"/>
  </w:style>
  <w:style w:type="paragraph" w:customStyle="1" w:styleId="s32b251d">
    <w:name w:val="s32b251d"/>
    <w:basedOn w:val="Normal"/>
    <w:rsid w:val="008D4DEB"/>
    <w:pPr>
      <w:spacing w:before="100" w:beforeAutospacing="1" w:after="100" w:afterAutospacing="1"/>
    </w:pPr>
    <w:rPr>
      <w:rFonts w:ascii="Times New Roman" w:eastAsia="Times New Roman" w:hAnsi="Times New Roman" w:cs="Times New Roman"/>
      <w:lang w:val="fr-FR" w:eastAsia="fr-FR"/>
    </w:rPr>
  </w:style>
  <w:style w:type="character" w:customStyle="1" w:styleId="s6b621b36">
    <w:name w:val="s6b621b36"/>
    <w:basedOn w:val="Policepardfaut"/>
    <w:rsid w:val="008D4DEB"/>
  </w:style>
  <w:style w:type="character" w:customStyle="1" w:styleId="s68f5eaef">
    <w:name w:val="s68f5eaef"/>
    <w:basedOn w:val="Policepardfaut"/>
    <w:rsid w:val="008D4DEB"/>
  </w:style>
  <w:style w:type="paragraph" w:styleId="Lgende">
    <w:name w:val="caption"/>
    <w:basedOn w:val="Normal"/>
    <w:next w:val="Normal"/>
    <w:uiPriority w:val="35"/>
    <w:unhideWhenUsed/>
    <w:qFormat/>
    <w:rsid w:val="008D4DEB"/>
    <w:pPr>
      <w:spacing w:after="200"/>
    </w:pPr>
    <w:rPr>
      <w:rFonts w:eastAsia="MS Mincho"/>
      <w:i/>
      <w:iCs/>
      <w:color w:val="44546A" w:themeColor="text2"/>
      <w:sz w:val="18"/>
      <w:szCs w:val="18"/>
      <w:lang w:val="fr-FR"/>
    </w:rPr>
  </w:style>
  <w:style w:type="numbering" w:customStyle="1" w:styleId="Listeactuelle1">
    <w:name w:val="Liste actuelle1"/>
    <w:uiPriority w:val="99"/>
    <w:rsid w:val="008D4DEB"/>
    <w:pPr>
      <w:numPr>
        <w:numId w:val="15"/>
      </w:numPr>
    </w:pPr>
  </w:style>
  <w:style w:type="character" w:customStyle="1" w:styleId="cf01">
    <w:name w:val="cf01"/>
    <w:basedOn w:val="Policepardfaut"/>
    <w:rsid w:val="008D4DEB"/>
    <w:rPr>
      <w:rFonts w:ascii="Segoe UI" w:hAnsi="Segoe UI" w:cs="Segoe UI" w:hint="default"/>
      <w:sz w:val="18"/>
      <w:szCs w:val="18"/>
    </w:rPr>
  </w:style>
  <w:style w:type="character" w:customStyle="1" w:styleId="cf11">
    <w:name w:val="cf11"/>
    <w:basedOn w:val="Policepardfaut"/>
    <w:rsid w:val="008D4DEB"/>
    <w:rPr>
      <w:rFonts w:ascii="Segoe UI" w:hAnsi="Segoe UI" w:cs="Segoe UI" w:hint="default"/>
      <w:i/>
      <w:iCs/>
      <w:sz w:val="18"/>
      <w:szCs w:val="18"/>
      <w:u w:val="single"/>
    </w:rPr>
  </w:style>
  <w:style w:type="character" w:customStyle="1" w:styleId="cf21">
    <w:name w:val="cf21"/>
    <w:basedOn w:val="Policepardfaut"/>
    <w:rsid w:val="008D4DEB"/>
    <w:rPr>
      <w:rFonts w:ascii="Segoe UI" w:hAnsi="Segoe UI" w:cs="Segoe UI" w:hint="default"/>
      <w:sz w:val="18"/>
      <w:szCs w:val="18"/>
      <w:u w:val="single"/>
    </w:rPr>
  </w:style>
  <w:style w:type="character" w:customStyle="1" w:styleId="findhit">
    <w:name w:val="findhit"/>
    <w:basedOn w:val="Policepardfaut"/>
    <w:rsid w:val="008D4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3.emf"/></Relationships>
</file>

<file path=word/theme/theme1.xml><?xml version="1.0" encoding="utf-8"?>
<a:theme xmlns:a="http://schemas.openxmlformats.org/drawingml/2006/main" name="Tema d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ACD02-83E8-455E-9C34-F6BA8D66A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8857</Words>
  <Characters>48717</Characters>
  <Application>Microsoft Office Word</Application>
  <DocSecurity>0</DocSecurity>
  <Lines>405</Lines>
  <Paragraphs>114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C.Baldon</dc:creator>
  <cp:keywords/>
  <dc:description/>
  <cp:lastModifiedBy>Veblen Institute</cp:lastModifiedBy>
  <cp:revision>2</cp:revision>
  <dcterms:created xsi:type="dcterms:W3CDTF">2023-02-13T15:40:00Z</dcterms:created>
  <dcterms:modified xsi:type="dcterms:W3CDTF">2023-02-13T15:40:00Z</dcterms:modified>
</cp:coreProperties>
</file>